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12" w:lineRule="auto"/>
        <w:jc w:val="both"/>
        <w:rPr>
          <w:rFonts w:asciiTheme="minorEastAsia" w:hAnsiTheme="minorEastAsia" w:eastAsiaTheme="minorEastAsia"/>
          <w:b/>
          <w:color w:val="FF0000"/>
          <w:w w:val="48"/>
          <w:sz w:val="144"/>
          <w:szCs w:val="144"/>
        </w:rPr>
      </w:pPr>
    </w:p>
    <w:p>
      <w:pPr>
        <w:pStyle w:val="6"/>
        <w:spacing w:before="0" w:beforeAutospacing="0" w:after="0" w:afterAutospacing="0" w:line="312" w:lineRule="auto"/>
        <w:jc w:val="both"/>
        <w:rPr>
          <w:rFonts w:asciiTheme="minorEastAsia" w:hAnsiTheme="minorEastAsia" w:eastAsiaTheme="minorEastAsia"/>
          <w:b/>
          <w:color w:val="FF0000"/>
          <w:w w:val="48"/>
          <w:sz w:val="32"/>
          <w:szCs w:val="32"/>
        </w:rPr>
      </w:pPr>
    </w:p>
    <w:p>
      <w:pPr>
        <w:pStyle w:val="6"/>
        <w:spacing w:before="0" w:beforeAutospacing="0" w:after="0" w:afterAutospacing="0" w:line="312" w:lineRule="auto"/>
        <w:jc w:val="center"/>
        <w:rPr>
          <w:rFonts w:asciiTheme="minorEastAsia" w:hAnsiTheme="minorEastAsia" w:eastAsiaTheme="minorEastAsia"/>
          <w:b/>
          <w:color w:val="FF0000"/>
          <w:w w:val="48"/>
          <w:sz w:val="32"/>
          <w:szCs w:val="32"/>
        </w:rPr>
      </w:pPr>
    </w:p>
    <w:p>
      <w:pPr>
        <w:pStyle w:val="6"/>
        <w:spacing w:before="0" w:beforeAutospacing="0" w:after="0" w:afterAutospacing="0" w:line="312"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吉丰政办发〔2020〕</w:t>
      </w:r>
      <w:r>
        <w:rPr>
          <w:rFonts w:hint="eastAsia" w:ascii="仿宋_GB2312" w:hAnsi="仿宋_GB2312" w:eastAsia="仿宋_GB2312" w:cs="仿宋_GB2312"/>
          <w:color w:val="000000"/>
          <w:sz w:val="32"/>
          <w:szCs w:val="32"/>
          <w:lang w:val="en-US" w:eastAsia="zh-CN"/>
        </w:rPr>
        <w:t>30</w:t>
      </w:r>
      <w:bookmarkStart w:id="0" w:name="_GoBack"/>
      <w:bookmarkEnd w:id="0"/>
      <w:r>
        <w:rPr>
          <w:rFonts w:hint="eastAsia" w:ascii="仿宋_GB2312" w:hAnsi="仿宋_GB2312" w:eastAsia="仿宋_GB2312" w:cs="仿宋_GB2312"/>
          <w:color w:val="000000"/>
          <w:sz w:val="32"/>
          <w:szCs w:val="32"/>
        </w:rPr>
        <w:t>号</w:t>
      </w:r>
    </w:p>
    <w:p>
      <w:pPr>
        <w:pStyle w:val="6"/>
        <w:spacing w:before="0" w:beforeAutospacing="0" w:after="0" w:afterAutospacing="0" w:line="312" w:lineRule="auto"/>
        <w:jc w:val="center"/>
        <w:rPr>
          <w:rFonts w:hint="eastAsia" w:ascii="方正小标宋简体" w:hAnsi="方正小标宋简体" w:eastAsia="方正小标宋简体" w:cs="方正小标宋简体"/>
          <w:color w:val="FF0000"/>
          <w:sz w:val="44"/>
          <w:szCs w:val="44"/>
          <w:u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rPr>
        <w:t>吉林市丰满区人民政府办公室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w:t>
      </w:r>
      <w:r>
        <w:rPr>
          <w:rFonts w:hint="eastAsia" w:ascii="方正小标宋简体" w:hAnsi="方正小标宋简体" w:eastAsia="方正小标宋简体" w:cs="方正小标宋简体"/>
          <w:b w:val="0"/>
          <w:bCs/>
          <w:color w:val="000000"/>
          <w:sz w:val="44"/>
          <w:szCs w:val="44"/>
          <w:lang w:eastAsia="zh-CN"/>
        </w:rPr>
        <w:t>印发《</w:t>
      </w:r>
      <w:r>
        <w:rPr>
          <w:rFonts w:hint="eastAsia" w:ascii="方正小标宋简体" w:hAnsi="方正小标宋简体" w:eastAsia="方正小标宋简体" w:cs="方正小标宋简体"/>
          <w:b w:val="0"/>
          <w:bCs/>
          <w:color w:val="000000"/>
          <w:sz w:val="44"/>
          <w:szCs w:val="44"/>
        </w:rPr>
        <w:t>促进3岁以下婴幼儿照护服务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发展的实施意见</w:t>
      </w:r>
      <w:r>
        <w:rPr>
          <w:rFonts w:hint="eastAsia" w:ascii="方正小标宋简体" w:hAnsi="方正小标宋简体" w:eastAsia="方正小标宋简体" w:cs="方正小标宋简体"/>
          <w:b w:val="0"/>
          <w:bCs/>
          <w:color w:val="000000"/>
          <w:sz w:val="44"/>
          <w:szCs w:val="44"/>
          <w:lang w:eastAsia="zh-CN"/>
        </w:rPr>
        <w:t>》的通知</w:t>
      </w:r>
    </w:p>
    <w:p>
      <w:pPr>
        <w:pStyle w:val="6"/>
        <w:spacing w:before="0" w:beforeAutospacing="0" w:after="0" w:afterAutospacing="0" w:line="312" w:lineRule="auto"/>
        <w:jc w:val="both"/>
        <w:rPr>
          <w:rFonts w:asciiTheme="majorEastAsia" w:hAnsiTheme="majorEastAsia" w:eastAsiaTheme="majorEastAsia"/>
          <w:b/>
          <w:sz w:val="48"/>
          <w:szCs w:val="48"/>
        </w:rPr>
      </w:pP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各乡（镇）人民政府</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街道办事处，开发区</w:t>
      </w:r>
      <w:r>
        <w:rPr>
          <w:rFonts w:hint="eastAsia" w:ascii="仿宋_GB2312" w:hAnsi="楷体" w:eastAsia="仿宋_GB2312"/>
          <w:color w:val="000000"/>
          <w:sz w:val="32"/>
          <w:szCs w:val="32"/>
          <w:lang w:eastAsia="zh-CN"/>
        </w:rPr>
        <w:t>管委会</w:t>
      </w:r>
      <w:r>
        <w:rPr>
          <w:rFonts w:hint="eastAsia" w:ascii="仿宋_GB2312" w:hAnsi="楷体" w:eastAsia="仿宋_GB2312"/>
          <w:color w:val="000000"/>
          <w:sz w:val="32"/>
          <w:szCs w:val="32"/>
        </w:rPr>
        <w:t>，区政府各</w:t>
      </w:r>
      <w:r>
        <w:rPr>
          <w:rFonts w:hint="eastAsia" w:ascii="仿宋_GB2312" w:hAnsi="楷体" w:eastAsia="仿宋_GB2312"/>
          <w:color w:val="000000"/>
          <w:sz w:val="32"/>
          <w:szCs w:val="32"/>
          <w:lang w:eastAsia="zh-CN"/>
        </w:rPr>
        <w:t>部门</w:t>
      </w:r>
      <w:r>
        <w:rPr>
          <w:rFonts w:hint="eastAsia" w:ascii="仿宋_GB2312" w:hAnsi="楷体" w:eastAsia="仿宋_GB2312"/>
          <w:color w:val="000000"/>
          <w:sz w:val="32"/>
          <w:szCs w:val="32"/>
        </w:rPr>
        <w:t>：</w:t>
      </w:r>
    </w:p>
    <w:p>
      <w:pPr>
        <w:pStyle w:val="6"/>
        <w:spacing w:before="0" w:beforeAutospacing="0" w:after="0" w:afterAutospacing="0" w:line="312" w:lineRule="auto"/>
        <w:ind w:firstLine="640"/>
        <w:jc w:val="both"/>
        <w:rPr>
          <w:rFonts w:hint="eastAsia" w:ascii="仿宋_GB2312" w:hAnsi="楷体" w:eastAsia="仿宋_GB2312"/>
          <w:color w:val="000000"/>
          <w:sz w:val="32"/>
          <w:szCs w:val="32"/>
        </w:rPr>
        <w:sectPr>
          <w:pgSz w:w="11906" w:h="16838"/>
          <w:pgMar w:top="1440" w:right="1800" w:bottom="1440" w:left="1800" w:header="851" w:footer="992" w:gutter="0"/>
          <w:cols w:space="425" w:num="1"/>
          <w:docGrid w:type="lines" w:linePitch="312" w:charSpace="0"/>
        </w:sectPr>
      </w:pPr>
      <w:r>
        <w:rPr>
          <w:rFonts w:hint="eastAsia" w:ascii="仿宋_GB2312" w:hAnsi="楷体" w:eastAsia="仿宋_GB2312"/>
          <w:color w:val="000000"/>
          <w:sz w:val="32"/>
          <w:szCs w:val="32"/>
        </w:rPr>
        <w:t>为深入贯彻落实《国务院办公厅关于促进3岁以下婴幼儿照护服务发展的指导意见》(国办发</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2019</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15号)、《吉林省人民政府办公厅关于促进3岁以下婴幼儿照护服务发展的实施意见》(吉政办发</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2019</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42号)和《吉林市人民政府办公室关于促进3岁以下婴幼儿照护服务发展的实施意见》（吉市政办发</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仿宋_GB2312" w:eastAsia="仿宋_GB2312" w:cs="仿宋_GB2312"/>
          <w:color w:val="000000"/>
          <w:sz w:val="32"/>
          <w:szCs w:val="32"/>
        </w:rPr>
        <w:t>〕</w:t>
      </w:r>
      <w:r>
        <w:rPr>
          <w:rFonts w:hint="eastAsia" w:ascii="仿宋_GB2312" w:hAnsi="楷体" w:eastAsia="仿宋_GB2312"/>
          <w:color w:val="000000"/>
          <w:sz w:val="32"/>
          <w:szCs w:val="32"/>
        </w:rPr>
        <w:t>9号），进一步促进3岁以下婴幼儿(以下简称婴幼儿)健康成长，满足育龄群众对婴幼儿照护服务</w:t>
      </w:r>
    </w:p>
    <w:p>
      <w:pPr>
        <w:pStyle w:val="6"/>
        <w:spacing w:before="0" w:beforeAutospacing="0" w:after="0" w:afterAutospacing="0" w:line="312" w:lineRule="auto"/>
        <w:jc w:val="both"/>
        <w:rPr>
          <w:rFonts w:hint="eastAsia" w:ascii="仿宋_GB2312" w:hAnsi="楷体" w:eastAsia="仿宋_GB2312"/>
          <w:color w:val="000000"/>
          <w:sz w:val="32"/>
          <w:szCs w:val="32"/>
          <w:lang w:eastAsia="zh-CN"/>
        </w:rPr>
      </w:pPr>
      <w:r>
        <w:rPr>
          <w:rFonts w:hint="eastAsia" w:ascii="仿宋_GB2312" w:hAnsi="楷体" w:eastAsia="仿宋_GB2312"/>
          <w:color w:val="000000"/>
          <w:sz w:val="32"/>
          <w:szCs w:val="32"/>
        </w:rPr>
        <w:t>的需求，经区政府同意，现提出如下实施意见</w:t>
      </w:r>
      <w:r>
        <w:rPr>
          <w:rFonts w:hint="eastAsia" w:ascii="仿宋_GB2312" w:hAnsi="楷体" w:eastAsia="仿宋_GB2312"/>
          <w:color w:val="000000"/>
          <w:sz w:val="32"/>
          <w:szCs w:val="32"/>
          <w:lang w:eastAsia="zh-CN"/>
        </w:rPr>
        <w:t>，请认真贯彻落实。</w:t>
      </w:r>
    </w:p>
    <w:p>
      <w:pPr>
        <w:pStyle w:val="6"/>
        <w:spacing w:before="0" w:beforeAutospacing="0" w:after="0" w:afterAutospacing="0" w:line="312" w:lineRule="auto"/>
        <w:ind w:firstLine="640"/>
        <w:jc w:val="both"/>
        <w:rPr>
          <w:rFonts w:hint="eastAsia" w:ascii="仿宋_GB2312" w:hAnsi="楷体" w:eastAsia="仿宋_GB2312"/>
          <w:color w:val="000000"/>
          <w:sz w:val="32"/>
          <w:szCs w:val="32"/>
          <w:lang w:eastAsia="zh-CN"/>
        </w:rPr>
      </w:pPr>
    </w:p>
    <w:p>
      <w:pPr>
        <w:pStyle w:val="6"/>
        <w:spacing w:before="0" w:beforeAutospacing="0" w:after="0" w:afterAutospacing="0" w:line="312" w:lineRule="auto"/>
        <w:ind w:firstLine="640"/>
        <w:jc w:val="both"/>
        <w:rPr>
          <w:rFonts w:hint="eastAsia" w:ascii="仿宋_GB2312" w:hAnsi="楷体" w:eastAsia="仿宋_GB2312"/>
          <w:color w:val="000000"/>
          <w:sz w:val="32"/>
          <w:szCs w:val="32"/>
          <w:lang w:eastAsia="zh-CN"/>
        </w:rPr>
      </w:pPr>
    </w:p>
    <w:p>
      <w:pPr>
        <w:pStyle w:val="6"/>
        <w:spacing w:before="0" w:beforeAutospacing="0" w:after="0" w:afterAutospacing="0" w:line="312" w:lineRule="auto"/>
        <w:ind w:firstLine="640"/>
        <w:jc w:val="both"/>
        <w:rPr>
          <w:rFonts w:hint="eastAsia" w:ascii="仿宋_GB2312" w:hAnsi="楷体" w:eastAsia="仿宋_GB2312"/>
          <w:color w:val="000000"/>
          <w:sz w:val="32"/>
          <w:szCs w:val="32"/>
          <w:lang w:eastAsia="zh-CN"/>
        </w:rPr>
      </w:pPr>
    </w:p>
    <w:p>
      <w:pPr>
        <w:pStyle w:val="6"/>
        <w:spacing w:before="0" w:beforeAutospacing="0" w:after="0" w:afterAutospacing="0" w:line="312" w:lineRule="auto"/>
        <w:ind w:firstLine="640"/>
        <w:jc w:val="both"/>
        <w:rPr>
          <w:rFonts w:hint="eastAsia" w:ascii="仿宋_GB2312" w:hAnsi="楷体" w:eastAsia="仿宋_GB2312"/>
          <w:color w:val="000000"/>
          <w:sz w:val="32"/>
          <w:szCs w:val="32"/>
          <w:lang w:eastAsia="zh-CN"/>
        </w:rPr>
      </w:pPr>
    </w:p>
    <w:p>
      <w:pPr>
        <w:pStyle w:val="6"/>
        <w:spacing w:before="0" w:beforeAutospacing="0" w:after="0" w:afterAutospacing="0" w:line="312" w:lineRule="auto"/>
        <w:jc w:val="both"/>
        <w:rPr>
          <w:rFonts w:ascii="仿宋_GB2312" w:hAnsi="楷体" w:eastAsia="仿宋_GB2312"/>
          <w:color w:val="000000"/>
          <w:sz w:val="32"/>
          <w:szCs w:val="32"/>
        </w:rPr>
      </w:pPr>
      <w:r>
        <w:rPr>
          <w:rFonts w:hint="eastAsia" w:ascii="仿宋_GB2312" w:hAnsi="楷体" w:eastAsia="仿宋_GB2312"/>
          <w:color w:val="000000"/>
          <w:sz w:val="32"/>
          <w:szCs w:val="32"/>
        </w:rPr>
        <w:t xml:space="preserve">                   吉林市丰满区人民政府办公室</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2020年7月14日</w:t>
      </w:r>
    </w:p>
    <w:p>
      <w:pPr>
        <w:jc w:val="both"/>
        <w:rPr>
          <w:rFonts w:ascii="仿宋_GB2312" w:hAnsi="楷体" w:eastAsia="仿宋_GB2312"/>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吉林市丰满区</w:t>
      </w:r>
      <w:r>
        <w:rPr>
          <w:rFonts w:hint="eastAsia" w:ascii="方正小标宋简体" w:hAnsi="方正小标宋简体" w:eastAsia="方正小标宋简体" w:cs="方正小标宋简体"/>
          <w:b w:val="0"/>
          <w:bCs/>
          <w:color w:val="000000"/>
          <w:sz w:val="44"/>
          <w:szCs w:val="44"/>
        </w:rPr>
        <w:t>促进3岁以下婴幼儿</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照护服务发展的实施意见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6"/>
        <w:numPr>
          <w:ilvl w:val="0"/>
          <w:numId w:val="1"/>
        </w:numPr>
        <w:spacing w:before="0" w:beforeAutospacing="0" w:after="0" w:afterAutospacing="0" w:line="312" w:lineRule="auto"/>
        <w:ind w:firstLine="64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总体要求</w:t>
      </w:r>
    </w:p>
    <w:p>
      <w:pPr>
        <w:pStyle w:val="6"/>
        <w:numPr>
          <w:ilvl w:val="0"/>
          <w:numId w:val="0"/>
        </w:numPr>
        <w:spacing w:before="0" w:beforeAutospacing="0" w:after="0" w:afterAutospacing="0" w:line="312" w:lineRule="auto"/>
        <w:ind w:firstLine="640" w:firstLineChars="200"/>
        <w:jc w:val="both"/>
        <w:rPr>
          <w:rFonts w:ascii="仿宋_GB2312" w:hAnsi="楷体" w:eastAsia="仿宋_GB2312"/>
          <w:sz w:val="32"/>
          <w:szCs w:val="32"/>
        </w:rPr>
      </w:pPr>
      <w:r>
        <w:rPr>
          <w:rFonts w:hint="eastAsia" w:ascii="仿宋_GB2312" w:hAnsi="楷体" w:eastAsia="仿宋_GB2312"/>
          <w:color w:val="000000"/>
          <w:sz w:val="32"/>
          <w:szCs w:val="32"/>
        </w:rPr>
        <w:t>以习近平新时代中国特色社会主义思想为指导，坚持以人民为中心的发展思想，以需求和问题为导向，坚持家庭为主</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托育补充，政策引导、普惠优先，安全健康、科学规范，属地管理、分类指导的原则，按照政府引导、部门联动、家庭为主、多方参与的总体思路，建立主体多元、管理规范、质量保证的婴幼儿照护服务体系，为广大婴幼儿家庭提供科学育儿指导，提高家庭照护能力，规范婴幼儿照护服务机构发展，不断满足广大婴幼儿家庭的照护服务需求。</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2020年底前，全区至少建成1家符合实际、具有示范效应的婴幼儿照护服务机构，开展婴幼儿照护服务活动。到2025年，全区基本形成多元化、多样化、覆盖城乡的婴幼儿照护服务体系，婴幼儿照护服务水平明显提升，育龄群众的婴幼儿照护服务需求得到进一步满足。</w:t>
      </w:r>
    </w:p>
    <w:p>
      <w:pPr>
        <w:pStyle w:val="6"/>
        <w:numPr>
          <w:ilvl w:val="0"/>
          <w:numId w:val="1"/>
        </w:numPr>
        <w:spacing w:before="0" w:beforeAutospacing="0" w:after="0" w:afterAutospacing="0" w:line="312" w:lineRule="auto"/>
        <w:ind w:left="0" w:leftChars="0" w:firstLine="640" w:firstLineChars="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主要任务</w:t>
      </w:r>
    </w:p>
    <w:p>
      <w:pPr>
        <w:pStyle w:val="6"/>
        <w:numPr>
          <w:ilvl w:val="0"/>
          <w:numId w:val="0"/>
        </w:numPr>
        <w:spacing w:before="0" w:beforeAutospacing="0" w:after="0" w:afterAutospacing="0" w:line="312" w:lineRule="auto"/>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规范发展多种形式婴幼儿照护服务机构。</w:t>
      </w:r>
    </w:p>
    <w:p>
      <w:pPr>
        <w:pStyle w:val="6"/>
        <w:spacing w:before="0" w:beforeAutospacing="0" w:after="0" w:afterAutospacing="0" w:line="312" w:lineRule="auto"/>
        <w:ind w:firstLine="640" w:firstLineChars="200"/>
        <w:jc w:val="both"/>
        <w:rPr>
          <w:rFonts w:ascii="仿宋_GB2312" w:hAnsi="楷体" w:eastAsia="仿宋_GB2312"/>
          <w:sz w:val="32"/>
          <w:szCs w:val="32"/>
        </w:rPr>
      </w:pPr>
      <w:r>
        <w:rPr>
          <w:rFonts w:hint="eastAsia" w:ascii="仿宋_GB2312" w:hAnsi="楷体" w:eastAsia="仿宋_GB2312"/>
          <w:color w:val="000000"/>
          <w:sz w:val="32"/>
          <w:szCs w:val="32"/>
        </w:rPr>
        <w:t>1.发展多种形式婴幼儿照护服务。充分调动社会力量积极性，大力推动婴幼儿照护服务发展，优先支持普惠性婴幼儿照护服务机构;支持面向大众的普惠性婴幼儿项目，为婴幼儿家庭提供质量有保障、价格可承受、方便可及的托育服务;鼓励支持用人单位、产业园区单独或者联合相关单位举办婴幼儿照护服务机构，在工作场所为职工提供福利性的婴幼儿照护服务，方便有需求的职工兼顾工作和婴幼儿照料，有条件的可向附近居民适当开放。同时要充分考虑进城务工人员随迁婴幼儿的照护服务需求, 鼓励支持有条件的幼儿园开设托育班，招收2-3岁的幼儿。各类婴幼儿照护服务机构可根据家庭实际需要，提供全日托、半日托、计时托、临时托等多样化、多层次的的婴幼儿照护服务。(责任单位:各乡（镇）人民政府、街道办事处、区教育局、区卫生健康局、区总工会、区发改局)</w:t>
      </w:r>
    </w:p>
    <w:p>
      <w:pPr>
        <w:pStyle w:val="6"/>
        <w:spacing w:before="0" w:beforeAutospacing="0" w:after="0" w:afterAutospacing="0" w:line="312" w:lineRule="auto"/>
        <w:ind w:firstLine="640" w:firstLineChars="200"/>
        <w:jc w:val="both"/>
        <w:rPr>
          <w:rFonts w:ascii="仿宋_GB2312" w:hAnsi="楷体" w:eastAsia="仿宋_GB2312"/>
          <w:sz w:val="32"/>
          <w:szCs w:val="32"/>
        </w:rPr>
      </w:pPr>
      <w:r>
        <w:rPr>
          <w:rFonts w:hint="eastAsia" w:ascii="仿宋_GB2312" w:hAnsi="楷体" w:eastAsia="仿宋_GB2312"/>
          <w:color w:val="000000"/>
          <w:sz w:val="32"/>
          <w:szCs w:val="32"/>
        </w:rPr>
        <w:t>2.规范婴幼儿照护服务机构登记准入备案制度。举办各类托育机构必须符合国家、省、市相关标准规范。举办非营利性托育机构的，要在托育机构所在地的县级以上机构编制部门或民政部门注册登记;举办营利性托育机构的，要在托育机构所在地的县级以上市场监管部门注册登记;依托现有幼儿园开展托育服务的，持相应审批手续到区卫生健康部门办理备案;婴幼儿照护服务机构经核准登记后，应当及时向卫生健康部门备案，登记机关应及时将有关机构登记信息推送至同级卫生健康部门。(责任单位:区民政局、市市场监管局丰满分局、区教育局、区卫生健康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3.加强婴幼儿照护服务机构的卫生保健工作。为婴幼儿创造良好的生活环境，预防控制传染病，降低常见病的发病率，保障婴幼儿的身心健康;妇幼保健机构、疾病预防控制机构、卫生监督机构要按照职责加强对婴幼儿照护服务机构卫生保健工作的业务指导、咨询服务和监督检查；托收的婴幼儿须经具</w:t>
      </w:r>
      <w:r>
        <w:rPr>
          <w:rFonts w:hint="eastAsia" w:ascii="仿宋_GB2312" w:hAnsi="楷体" w:eastAsia="仿宋_GB2312"/>
          <w:color w:val="000000"/>
          <w:sz w:val="32"/>
          <w:szCs w:val="32"/>
          <w:lang w:eastAsia="zh-CN"/>
        </w:rPr>
        <w:t>备</w:t>
      </w:r>
      <w:r>
        <w:rPr>
          <w:rFonts w:hint="eastAsia" w:ascii="仿宋_GB2312" w:hAnsi="楷体" w:eastAsia="仿宋_GB2312"/>
          <w:color w:val="000000"/>
          <w:sz w:val="32"/>
          <w:szCs w:val="32"/>
        </w:rPr>
        <w:t>法定资质的医疗卫生机构健康体检合格，完成免疫规划疫苗预防接种，严格落实每日晨午检，卫生消毒、病儿隔离、传染病预防和管理等制度。(责任单位:区卫生健康局、区教育局)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4.鼓励建设示范</w:t>
      </w:r>
      <w:r>
        <w:rPr>
          <w:rFonts w:hint="eastAsia" w:ascii="仿宋_GB2312" w:hAnsi="楷体" w:eastAsia="仿宋_GB2312"/>
          <w:color w:val="000000"/>
          <w:sz w:val="32"/>
          <w:szCs w:val="32"/>
          <w:lang w:eastAsia="zh-CN"/>
        </w:rPr>
        <w:t>性</w:t>
      </w:r>
      <w:r>
        <w:rPr>
          <w:rFonts w:hint="eastAsia" w:ascii="仿宋_GB2312" w:hAnsi="楷体" w:eastAsia="仿宋_GB2312"/>
          <w:color w:val="000000"/>
          <w:sz w:val="32"/>
          <w:szCs w:val="32"/>
        </w:rPr>
        <w:t>托育服务机构。鼓励托育服务机构设置一定规模的普惠性托位，提供托育从业人员培训、托育机构管理咨询、家庭养育指导和社区亲子服务等服务，并协同示范区内社区卫生服务中心牵头成立的婴幼儿照护服务指导专家团队，提供早期发展教育和健康指导服务，推动建设示范性托育服务机构。对符合国家资金支持的示范性托育机构积极争取上级资金支持。(责任单位:各乡（镇）人民政府、街道办事处、区卫生健康局、区教育局、区发改局、区妇联)</w:t>
      </w:r>
    </w:p>
    <w:p>
      <w:pPr>
        <w:pStyle w:val="6"/>
        <w:spacing w:before="0" w:beforeAutospacing="0" w:after="0" w:afterAutospacing="0" w:line="312" w:lineRule="auto"/>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sz w:val="32"/>
          <w:szCs w:val="32"/>
        </w:rPr>
        <w:t xml:space="preserve">   </w:t>
      </w:r>
      <w:r>
        <w:rPr>
          <w:rFonts w:hint="eastAsia" w:ascii="楷体_GB2312" w:hAnsi="楷体_GB2312" w:eastAsia="楷体_GB2312" w:cs="楷体_GB2312"/>
          <w:b w:val="0"/>
          <w:bCs/>
          <w:color w:val="000000"/>
          <w:sz w:val="32"/>
          <w:szCs w:val="32"/>
          <w:lang w:val="en-US" w:eastAsia="zh-CN"/>
        </w:rPr>
        <w:t xml:space="preserve"> </w:t>
      </w: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落实各项婴幼儿照护服务保障措施。</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1.严格落实优惠政策。鼓励乡（镇）人民政府、街道办事处通过采取提供场地、减免租金等政策措施，加大对社会力量开展婴幼儿照护服务、用人单位内设婴幼儿照护服务机构的支持力度;托育机构用电、用水、用气、用热按居民生活类价格执行;严格执行财政部等六部委《关于养老、托育、家政等社区家庭服务业税费优惠政策的公告》(财政部 税务总局 发展改革委  民政部 商务部 卫生健康委公告2019年第76号)，落实托育服务各项税费优惠政策。(责任单位:各乡（镇）人民政府、街道办事处、区发改局、丰满区税务局)</w:t>
      </w:r>
    </w:p>
    <w:p>
      <w:pPr>
        <w:pStyle w:val="6"/>
        <w:spacing w:before="0" w:beforeAutospacing="0" w:after="0" w:afterAutospacing="0" w:line="312" w:lineRule="auto"/>
        <w:ind w:firstLine="640" w:firstLineChars="200"/>
        <w:jc w:val="both"/>
        <w:rPr>
          <w:rFonts w:ascii="仿宋_GB2312" w:hAnsi="楷体" w:eastAsia="仿宋_GB2312"/>
          <w:sz w:val="32"/>
          <w:szCs w:val="32"/>
        </w:rPr>
      </w:pPr>
      <w:r>
        <w:rPr>
          <w:rFonts w:hint="eastAsia" w:ascii="仿宋_GB2312" w:hAnsi="楷体" w:eastAsia="仿宋_GB2312"/>
          <w:color w:val="000000"/>
          <w:sz w:val="32"/>
          <w:szCs w:val="32"/>
        </w:rPr>
        <w:t>2.加强规划建设管理。各乡（镇）人民政府、街道办事处要按照国家、省、市有关标准、规范，将婴幼儿照护服务设施和场地建设布局纳入相关规划。在新建居住区规划、建设与常住人口规模相适应的婴幼儿照护服务设施及配套安全设施，并与住宅同步验收、同步交付使用</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老城区和已建成居住区无婴幼儿照护服务设施的，要通过购置、置换、租赁等方式建设完成</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在推进城市基础设施建设、新型城镇化建设以及老旧居住小区设施改造过程中，要新建、扩建、改建一批婴幼儿照护服务机构和设施。通过做好公共活动区域的设施改造，为婴幼儿照护创造安全、适宜的环境和条件。(责任单位:各乡（镇）人民政府、街道办事处、市规划和自然资源局丰满分局、区发改局、区住建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3.建立用地保障机制。将婴幼儿照护服务机构和设施建设用地纳入各级国土空间规划中，统筹考虑年度用地计划并予以优先保障。鼓励利用低效土地或闲置土地建设婴幼儿照护服务机构和设施，符合《划拨用地目录》的，可采取划拨方式予以保障;农用地转用指标、新增用地指标分配要适当向婴幼儿照护服务机构和设施建设用地倾斜。(责任单位: 市规划和自然资源局丰满分局)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4.加强人才培养、培训和准入。加强婴幼儿照护服务人才培养，鼓励和支持高等院校、职业院校根据社会需求开设婴幼儿照护服务相关专业;加强对育婴师、营养师的职业技能培训和考核，规范职业培训市场，落实好职业培训补贴、技能鉴定补贴或技能提升补贴等政策;逐步实行托育机构工作人员职业资格准入制度。根据规模，应当配置综合管理、保育照护、卫生保健、安全</w:t>
      </w:r>
      <w:r>
        <w:rPr>
          <w:rFonts w:hint="eastAsia" w:ascii="仿宋_GB2312" w:hAnsi="楷体" w:eastAsia="仿宋_GB2312"/>
          <w:color w:val="000000"/>
          <w:sz w:val="32"/>
          <w:szCs w:val="32"/>
          <w:lang w:eastAsia="zh-CN"/>
        </w:rPr>
        <w:t>保卫</w:t>
      </w:r>
      <w:r>
        <w:rPr>
          <w:rFonts w:hint="eastAsia" w:ascii="仿宋_GB2312" w:hAnsi="楷体" w:eastAsia="仿宋_GB2312"/>
          <w:color w:val="000000"/>
          <w:sz w:val="32"/>
          <w:szCs w:val="32"/>
        </w:rPr>
        <w:t>和后勤保障等工作人员;托育机构从业人员应具有完全民事行为能力，必须符合国家主管部门规定的相关从业条件和从业资资格(责任任单位:区人社局、区教育局、市公安局丰满分局、区卫生健康局)</w:t>
      </w:r>
    </w:p>
    <w:p>
      <w:pPr>
        <w:pStyle w:val="6"/>
        <w:spacing w:before="0" w:beforeAutospacing="0" w:after="0" w:afterAutospacing="0" w:line="312" w:lineRule="auto"/>
        <w:jc w:val="both"/>
        <w:rPr>
          <w:rFonts w:hint="eastAsia" w:ascii="楷体_GB2312" w:hAnsi="楷体_GB2312" w:eastAsia="楷体_GB2312" w:cs="楷体_GB2312"/>
          <w:b w:val="0"/>
          <w:bCs/>
          <w:color w:val="000000"/>
          <w:sz w:val="32"/>
          <w:szCs w:val="32"/>
          <w:lang w:eastAsia="zh-CN"/>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5.加强社会支持保障。全面落实产假政策，鼓励用人单位采安排工作时间等积极措施，为婴幼儿照护创造便利条件；支持脱产照护婴幼儿的父母重返工作岗位，并为其提供信息服务、就业指导和职业技能培训;充分利用互联网等信息化手段，向广大家庭普及优孕、优生、优育等科学知识;各类公共场所要按照规定配备无障碍设施和母婴设施，开辟服务绿色通道，为母乳喂养、婴幼儿出行提供便利条件，保障母婴权益。(责任单位:区人社局、区总工会、区卫生健康局)</w:t>
      </w:r>
    </w:p>
    <w:p>
      <w:pPr>
        <w:pStyle w:val="6"/>
        <w:spacing w:before="0" w:beforeAutospacing="0" w:after="0" w:afterAutospacing="0" w:line="312" w:lineRule="auto"/>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进一步完善婴幼儿照护服务监督管理。</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1.明确监督管理责任。按照属地化管理的原则，对婴幼儿照护服务的规范发展和安全监管负主要责任;市市场监督管理局丰满分局、区应急局、市公安局丰满分局、区卫生健康、区教育局、区人社局、区民政局等部门按照各自职责对婴幼儿照护服务机构开展综合监督，并对日常监管负主要责任;各类婴幼儿照护服务机构在开展婴幼儿照护服务过程中对婴幼儿的安全健康负主要责任。(责任单位:各</w:t>
      </w:r>
      <w:r>
        <w:rPr>
          <w:rFonts w:hint="eastAsia" w:ascii="仿宋_GB2312" w:hAnsi="楷体" w:eastAsia="仿宋_GB2312"/>
          <w:color w:val="000000"/>
          <w:sz w:val="32"/>
          <w:szCs w:val="32"/>
          <w:lang w:eastAsia="zh-CN"/>
        </w:rPr>
        <w:t>乡</w:t>
      </w:r>
      <w:r>
        <w:rPr>
          <w:rFonts w:hint="eastAsia" w:ascii="仿宋_GB2312" w:hAnsi="楷体" w:eastAsia="仿宋_GB2312"/>
          <w:color w:val="000000"/>
          <w:sz w:val="32"/>
          <w:szCs w:val="32"/>
        </w:rPr>
        <w:t>（镇）人民政府、街道办事处、市市场监督管理局丰满分局、区应急局、市公安局丰满分局、区卫生健康局、区教育局、区人社局、区民政局)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2.加强安全监督管理。对虐童等行为零容忍，并将相关责任人和市场主体失信信息纳入吉林市社会信用综合服务平台，对相关个人和直接管理人员实行终身禁入;托育机构应当确保各类设施也符合有关安全标准，建立照护服务、安全保卫等监控体系，在婴幼儿生活和活动区域配备安防</w:t>
      </w:r>
      <w:r>
        <w:rPr>
          <w:rFonts w:hint="eastAsia" w:ascii="仿宋_GB2312" w:hAnsi="楷体" w:eastAsia="仿宋_GB2312"/>
          <w:color w:val="000000"/>
          <w:sz w:val="32"/>
          <w:szCs w:val="32"/>
          <w:lang w:eastAsia="zh-CN"/>
        </w:rPr>
        <w:t>视频</w:t>
      </w:r>
      <w:r>
        <w:rPr>
          <w:rFonts w:hint="eastAsia" w:ascii="仿宋_GB2312" w:hAnsi="楷体" w:eastAsia="仿宋_GB2312"/>
          <w:color w:val="000000"/>
          <w:sz w:val="32"/>
          <w:szCs w:val="32"/>
        </w:rPr>
        <w:t>监控设备，实行24小时设防，监控录像资料保存不少于90日;加强对婴幼儿照护服务机构食品安全的监管，提供餐饮服务的婴幼儿照护服务机构应当遵守《中华人民共和国食品安全法》等法律法规，以及相应的食品安全标准;各类托育机构应当成立家长委员会，发挥好家长监督作用。(责任单位:市公安局丰满分局、市市场监督管理局丰满分局、区政务服务局、区卫生健康局)</w:t>
      </w:r>
    </w:p>
    <w:p>
      <w:pPr>
        <w:pStyle w:val="6"/>
        <w:spacing w:before="0" w:beforeAutospacing="0" w:after="0" w:afterAutospacing="0" w:line="312" w:lineRule="auto"/>
        <w:jc w:val="both"/>
        <w:rPr>
          <w:rFonts w:ascii="仿宋_GB2312" w:hAnsi="楷体" w:eastAsia="仿宋_GB2312"/>
          <w:sz w:val="32"/>
          <w:szCs w:val="32"/>
        </w:rPr>
      </w:pP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rPr>
        <w:t>3.实施等级评价和动态管理。卫生健康部门要严格按照国家制定的托育机构等级评价标准，定期组织对托育机构进行综合评价，实施动态管理，评价结果定期向社会公布。运用信息化手段对婴幼儿照护服务机构的服务行为进行全程监督，畅通投诉举报渠道，加大对婴幼儿照护服务市场违法违规行为的查处力度。(责任单位:区卫生健康局、市市监督管理局丰满分局、区民政局、区教育局、区应急局、市公安局丰满分局)</w:t>
      </w:r>
    </w:p>
    <w:p>
      <w:pPr>
        <w:pStyle w:val="6"/>
        <w:spacing w:before="0" w:beforeAutospacing="0" w:after="0" w:afterAutospacing="0" w:line="312" w:lineRule="auto"/>
        <w:jc w:val="both"/>
        <w:rPr>
          <w:rFonts w:hint="eastAsia" w:ascii="黑体" w:hAnsi="黑体" w:eastAsia="黑体" w:cs="黑体"/>
          <w:b w:val="0"/>
          <w:bCs/>
          <w:sz w:val="32"/>
          <w:szCs w:val="32"/>
        </w:rPr>
      </w:pPr>
      <w:r>
        <w:rPr>
          <w:rFonts w:hint="eastAsia" w:ascii="黑体" w:hAnsi="黑体" w:eastAsia="黑体" w:cs="黑体"/>
          <w:b w:val="0"/>
          <w:bCs/>
          <w:color w:val="000000"/>
          <w:sz w:val="32"/>
          <w:szCs w:val="32"/>
        </w:rPr>
        <w:t xml:space="preserve">    三、组织领导</w:t>
      </w:r>
    </w:p>
    <w:p>
      <w:pPr>
        <w:pStyle w:val="6"/>
        <w:spacing w:before="0" w:beforeAutospacing="0" w:after="0" w:afterAutospacing="0" w:line="312" w:lineRule="auto"/>
        <w:jc w:val="both"/>
        <w:rPr>
          <w:rFonts w:ascii="仿宋_GB2312" w:hAnsi="楷体" w:eastAsia="仿宋_GB2312"/>
          <w:color w:val="000000"/>
          <w:sz w:val="32"/>
          <w:szCs w:val="32"/>
        </w:rPr>
      </w:pP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（一）</w:t>
      </w:r>
      <w:r>
        <w:rPr>
          <w:rFonts w:hint="eastAsia" w:ascii="楷体_GB2312" w:hAnsi="楷体_GB2312" w:eastAsia="楷体_GB2312" w:cs="楷体_GB2312"/>
          <w:color w:val="000000"/>
          <w:sz w:val="32"/>
          <w:szCs w:val="32"/>
        </w:rPr>
        <w:t>加强组织领导。</w:t>
      </w:r>
      <w:r>
        <w:rPr>
          <w:rFonts w:hint="eastAsia" w:ascii="仿宋_GB2312" w:hAnsi="楷体" w:eastAsia="仿宋_GB2312"/>
          <w:color w:val="000000"/>
          <w:sz w:val="32"/>
          <w:szCs w:val="32"/>
        </w:rPr>
        <w:t>各</w:t>
      </w:r>
      <w:r>
        <w:rPr>
          <w:rFonts w:hint="eastAsia" w:ascii="仿宋_GB2312" w:hAnsi="楷体" w:eastAsia="仿宋_GB2312"/>
          <w:color w:val="000000"/>
          <w:sz w:val="32"/>
          <w:szCs w:val="32"/>
          <w:lang w:eastAsia="zh-CN"/>
        </w:rPr>
        <w:t>乡</w:t>
      </w:r>
      <w:r>
        <w:rPr>
          <w:rFonts w:hint="eastAsia" w:ascii="仿宋_GB2312" w:hAnsi="楷体" w:eastAsia="仿宋_GB2312"/>
          <w:color w:val="000000"/>
          <w:sz w:val="32"/>
          <w:szCs w:val="32"/>
        </w:rPr>
        <w:t>（镇）</w:t>
      </w:r>
      <w:r>
        <w:rPr>
          <w:rFonts w:hint="eastAsia" w:ascii="仿宋_GB2312" w:hAnsi="楷体" w:eastAsia="仿宋_GB2312"/>
          <w:color w:val="000000"/>
          <w:sz w:val="32"/>
          <w:szCs w:val="32"/>
          <w:lang w:eastAsia="zh-CN"/>
        </w:rPr>
        <w:t>人民</w:t>
      </w:r>
      <w:r>
        <w:rPr>
          <w:rFonts w:hint="eastAsia" w:ascii="仿宋_GB2312" w:hAnsi="楷体" w:eastAsia="仿宋_GB2312"/>
          <w:color w:val="000000"/>
          <w:sz w:val="32"/>
          <w:szCs w:val="32"/>
        </w:rPr>
        <w:t>政府、街道办事处要切实提高认识，高度重视婴幼儿照护服务工作，将婴幼儿照护服务纳入经济社会发展相关规划和目标责任制考核，组织协调各职能部门制定相关标准、管理办法，共同推进婴幼儿照护服务工作。建立婴幼儿照护服务工作联席会议制度，定期商议解决区域内婴幼儿照护服务管理工作中的重大问题。</w:t>
      </w:r>
    </w:p>
    <w:p>
      <w:pPr>
        <w:pStyle w:val="6"/>
        <w:spacing w:before="0" w:beforeAutospacing="0" w:after="0" w:afterAutospacing="0" w:line="312" w:lineRule="auto"/>
        <w:jc w:val="both"/>
        <w:rPr>
          <w:rFonts w:ascii="仿宋_GB2312" w:hAnsi="楷体" w:eastAsia="仿宋_GB2312"/>
          <w:color w:val="000000"/>
          <w:sz w:val="32"/>
          <w:szCs w:val="32"/>
        </w:rPr>
      </w:pP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（二）加强部门协作。</w:t>
      </w:r>
      <w:r>
        <w:rPr>
          <w:rFonts w:hint="eastAsia" w:ascii="仿宋_GB2312" w:hAnsi="楷体" w:eastAsia="仿宋_GB2312"/>
          <w:color w:val="000000"/>
          <w:sz w:val="32"/>
          <w:szCs w:val="32"/>
        </w:rPr>
        <w:t>婴幼儿照护服务发展工作由区卫生健康局牵头，区发改局、区教育局、市公安局丰满分局、区民政局、区财政局、区人社局、市规划和自然资源局丰满分局、区住建局、区应急局、丰满税务局、市市场监督管理局丰满分局等部门要密切配合，加强协作，按照各自职责加强对婴幼儿照护服务</w:t>
      </w:r>
      <w:r>
        <w:rPr>
          <w:rFonts w:hint="eastAsia" w:ascii="仿宋_GB2312" w:hAnsi="楷体" w:eastAsia="仿宋_GB2312"/>
          <w:color w:val="000000"/>
          <w:sz w:val="32"/>
          <w:szCs w:val="32"/>
          <w:lang w:eastAsia="zh-CN"/>
        </w:rPr>
        <w:t>的</w:t>
      </w:r>
      <w:r>
        <w:rPr>
          <w:rFonts w:hint="eastAsia" w:ascii="仿宋_GB2312" w:hAnsi="楷体" w:eastAsia="仿宋_GB2312"/>
          <w:color w:val="000000"/>
          <w:sz w:val="32"/>
          <w:szCs w:val="32"/>
        </w:rPr>
        <w:t>指导、监督和管理，形成政府统筹领导，卫生健康部门牵头，相关部门分工合作的监督管理格局，共同做好婴幼儿照护服务发展工作。</w:t>
      </w:r>
    </w:p>
    <w:p>
      <w:pPr>
        <w:pStyle w:val="6"/>
        <w:spacing w:before="0" w:beforeAutospacing="0" w:after="0" w:afterAutospacing="0" w:line="312" w:lineRule="auto"/>
        <w:ind w:firstLine="640" w:firstLineChars="200"/>
        <w:jc w:val="both"/>
        <w:rPr>
          <w:rFonts w:hint="eastAsia" w:ascii="仿宋_GB2312" w:hAnsi="楷体" w:eastAsia="仿宋_GB2312"/>
          <w:color w:val="000000"/>
          <w:sz w:val="32"/>
          <w:szCs w:val="32"/>
        </w:rPr>
      </w:pP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加强示范引领。</w:t>
      </w:r>
      <w:r>
        <w:rPr>
          <w:rFonts w:hint="eastAsia" w:ascii="仿宋_GB2312" w:hAnsi="楷体" w:eastAsia="仿宋_GB2312"/>
          <w:color w:val="000000"/>
          <w:sz w:val="32"/>
          <w:szCs w:val="32"/>
        </w:rPr>
        <w:t>进一步加大宣传力度，开展婴幼儿照护服务示范活动，建设具有带动效应、承担一定指导功能的示范单位，充分发挥示范引领、带动辐射作用，不断提高婴幼儿照护服务整体水平。</w:t>
      </w:r>
    </w:p>
    <w:p>
      <w:pPr>
        <w:pStyle w:val="6"/>
        <w:spacing w:before="0" w:beforeAutospacing="0" w:after="0" w:afterAutospacing="0" w:line="312" w:lineRule="auto"/>
        <w:jc w:val="both"/>
        <w:rPr>
          <w:rFonts w:ascii="仿宋_GB2312" w:hAnsi="楷体" w:eastAsia="仿宋_GB2312"/>
          <w:color w:val="000000"/>
          <w:sz w:val="32"/>
          <w:szCs w:val="32"/>
        </w:rPr>
      </w:pPr>
    </w:p>
    <w:p>
      <w:pPr>
        <w:pStyle w:val="6"/>
        <w:spacing w:before="0" w:beforeAutospacing="0" w:after="0" w:afterAutospacing="0" w:line="312" w:lineRule="auto"/>
        <w:jc w:val="both"/>
        <w:rPr>
          <w:rFonts w:ascii="仿宋_GB2312" w:hAnsi="楷体" w:eastAsia="仿宋_GB2312"/>
          <w:color w:val="000000"/>
          <w:sz w:val="32"/>
          <w:szCs w:val="32"/>
        </w:rPr>
      </w:pPr>
      <w:r>
        <w:rPr>
          <w:rFonts w:hint="eastAsia" w:ascii="仿宋_GB2312" w:hAnsi="楷体" w:eastAsia="仿宋_GB2312"/>
          <w:color w:val="000000"/>
          <w:sz w:val="32"/>
          <w:szCs w:val="32"/>
        </w:rPr>
        <w:t>附件1：丰满区婴幼儿照护服务工作领导小组</w:t>
      </w:r>
    </w:p>
    <w:p>
      <w:pPr>
        <w:pStyle w:val="6"/>
        <w:spacing w:before="0" w:beforeAutospacing="0" w:after="0" w:afterAutospacing="0" w:line="312" w:lineRule="auto"/>
        <w:jc w:val="both"/>
        <w:rPr>
          <w:rFonts w:ascii="仿宋_GB2312" w:hAnsi="楷体" w:eastAsia="仿宋_GB2312"/>
          <w:color w:val="000000"/>
          <w:sz w:val="32"/>
          <w:szCs w:val="32"/>
        </w:rPr>
      </w:pPr>
      <w:r>
        <w:rPr>
          <w:rFonts w:hint="eastAsia" w:ascii="仿宋_GB2312" w:hAnsi="楷体" w:eastAsia="仿宋_GB2312"/>
          <w:color w:val="000000"/>
          <w:sz w:val="32"/>
          <w:szCs w:val="32"/>
        </w:rPr>
        <w:t>附件2：促进3岁以下婴幼儿照护服务发展工作部门职责分工</w:t>
      </w:r>
    </w:p>
    <w:p>
      <w:pPr>
        <w:pStyle w:val="6"/>
        <w:spacing w:before="0" w:beforeAutospacing="0" w:after="0" w:afterAutospacing="0" w:line="312" w:lineRule="auto"/>
        <w:jc w:val="both"/>
        <w:rPr>
          <w:rFonts w:ascii="仿宋_GB2312" w:hAnsi="楷体" w:eastAsia="仿宋_GB2312"/>
          <w:color w:val="000000"/>
          <w:sz w:val="32"/>
          <w:szCs w:val="32"/>
        </w:rPr>
      </w:pPr>
    </w:p>
    <w:p>
      <w:pPr>
        <w:pStyle w:val="6"/>
        <w:spacing w:before="0" w:beforeAutospacing="0" w:after="0" w:afterAutospacing="0" w:line="312" w:lineRule="auto"/>
        <w:jc w:val="both"/>
        <w:rPr>
          <w:rFonts w:ascii="仿宋_GB2312" w:hAnsi="楷体" w:eastAsia="仿宋_GB2312"/>
          <w:color w:val="000000"/>
          <w:sz w:val="32"/>
          <w:szCs w:val="32"/>
        </w:rPr>
      </w:pPr>
    </w:p>
    <w:p>
      <w:pPr>
        <w:pStyle w:val="6"/>
        <w:spacing w:before="0" w:beforeAutospacing="0" w:after="0" w:afterAutospacing="0" w:line="312" w:lineRule="auto"/>
        <w:jc w:val="both"/>
        <w:rPr>
          <w:rFonts w:ascii="仿宋_GB2312" w:hAnsi="楷体" w:eastAsia="仿宋_GB2312"/>
          <w:color w:val="000000"/>
          <w:sz w:val="32"/>
          <w:szCs w:val="32"/>
        </w:rPr>
      </w:pPr>
    </w:p>
    <w:p>
      <w:pPr>
        <w:pStyle w:val="6"/>
        <w:spacing w:before="0" w:beforeAutospacing="0" w:after="0" w:afterAutospacing="0" w:line="312" w:lineRule="auto"/>
        <w:jc w:val="both"/>
        <w:rPr>
          <w:rFonts w:ascii="仿宋_GB2312" w:hAnsi="楷体" w:eastAsia="仿宋_GB2312"/>
          <w:color w:val="000000"/>
          <w:sz w:val="32"/>
          <w:szCs w:val="32"/>
        </w:rPr>
      </w:pPr>
    </w:p>
    <w:p>
      <w:pPr>
        <w:jc w:val="both"/>
        <w:rPr>
          <w:rFonts w:ascii="仿宋_GB2312" w:hAnsi="楷体" w:eastAsia="仿宋_GB2312"/>
          <w:sz w:val="32"/>
          <w:szCs w:val="32"/>
        </w:rPr>
      </w:pPr>
      <w:r>
        <w:rPr>
          <w:rFonts w:hint="eastAsia" w:ascii="仿宋_GB2312" w:hAnsi="楷体" w:eastAsia="仿宋_GB2312"/>
          <w:color w:val="000000"/>
          <w:sz w:val="32"/>
          <w:szCs w:val="32"/>
        </w:rPr>
        <w:t xml:space="preserve"> </w:t>
      </w:r>
    </w:p>
    <w:p>
      <w:pPr>
        <w:jc w:val="both"/>
        <w:rPr>
          <w:rFonts w:ascii="仿宋_GB2312" w:hAnsi="楷体" w:eastAsia="仿宋_GB2312"/>
          <w:sz w:val="32"/>
          <w:szCs w:val="32"/>
        </w:rPr>
      </w:pPr>
    </w:p>
    <w:p>
      <w:pPr>
        <w:jc w:val="both"/>
        <w:rPr>
          <w:rFonts w:ascii="仿宋_GB2312" w:hAnsi="楷体" w:eastAsia="仿宋_GB2312"/>
          <w:sz w:val="32"/>
          <w:szCs w:val="32"/>
        </w:rPr>
      </w:pPr>
    </w:p>
    <w:p>
      <w:pPr>
        <w:jc w:val="both"/>
        <w:rPr>
          <w:rFonts w:ascii="仿宋_GB2312" w:hAnsi="楷体" w:eastAsia="仿宋_GB2312"/>
          <w:sz w:val="32"/>
          <w:szCs w:val="32"/>
        </w:rPr>
      </w:pPr>
    </w:p>
    <w:p>
      <w:pPr>
        <w:jc w:val="both"/>
        <w:rPr>
          <w:rFonts w:ascii="仿宋_GB2312" w:hAnsi="楷体" w:eastAsia="仿宋_GB2312"/>
          <w:sz w:val="32"/>
          <w:szCs w:val="32"/>
        </w:rPr>
      </w:pPr>
    </w:p>
    <w:p>
      <w:pPr>
        <w:jc w:val="both"/>
        <w:rPr>
          <w:rFonts w:ascii="仿宋_GB2312" w:hAnsi="楷体" w:eastAsia="仿宋_GB2312"/>
          <w:sz w:val="32"/>
          <w:szCs w:val="32"/>
        </w:rPr>
      </w:pPr>
    </w:p>
    <w:p>
      <w:pPr>
        <w:jc w:val="both"/>
        <w:rPr>
          <w:rFonts w:ascii="仿宋_GB2312" w:hAnsi="楷体" w:eastAsia="仿宋_GB2312"/>
          <w:sz w:val="32"/>
          <w:szCs w:val="32"/>
        </w:rPr>
      </w:pPr>
    </w:p>
    <w:p>
      <w:pPr>
        <w:jc w:val="both"/>
        <w:rPr>
          <w:rFonts w:ascii="仿宋_GB2312" w:hAnsi="楷体" w:eastAsia="仿宋_GB2312"/>
          <w:sz w:val="32"/>
          <w:szCs w:val="32"/>
        </w:rPr>
      </w:pPr>
    </w:p>
    <w:p>
      <w:pPr>
        <w:spacing w:line="240" w:lineRule="atLeast"/>
        <w:jc w:val="both"/>
        <w:rPr>
          <w:rFonts w:ascii="仿宋_GB2312" w:eastAsia="仿宋_GB2312"/>
          <w:sz w:val="32"/>
          <w:szCs w:val="32"/>
        </w:rPr>
      </w:pPr>
      <w:r>
        <w:rPr>
          <w:rFonts w:hint="eastAsia" w:ascii="仿宋_GB2312" w:eastAsia="仿宋_GB2312"/>
          <w:sz w:val="32"/>
          <w:szCs w:val="32"/>
        </w:rPr>
        <w:t>附件1：</w:t>
      </w:r>
    </w:p>
    <w:p>
      <w:pPr>
        <w:spacing w:line="240" w:lineRule="atLeast"/>
        <w:jc w:val="center"/>
        <w:rPr>
          <w:rFonts w:ascii="仿宋_GB2312" w:eastAsia="仿宋_GB2312"/>
          <w:sz w:val="44"/>
          <w:szCs w:val="44"/>
        </w:rPr>
      </w:pPr>
      <w:r>
        <w:rPr>
          <w:rFonts w:hint="eastAsia" w:ascii="方正小标宋简体" w:hAnsi="方正小标宋简体" w:eastAsia="方正小标宋简体" w:cs="方正小标宋简体"/>
          <w:sz w:val="44"/>
          <w:szCs w:val="44"/>
        </w:rPr>
        <w:t>丰满区婴幼儿照护服务工作领导小组</w:t>
      </w:r>
    </w:p>
    <w:p>
      <w:pPr>
        <w:pStyle w:val="9"/>
        <w:jc w:val="both"/>
        <w:rPr>
          <w:rFonts w:ascii="仿宋_GB2312" w:eastAsia="仿宋_GB2312"/>
          <w:sz w:val="32"/>
          <w:szCs w:val="32"/>
          <w:lang w:eastAsia="zh-CN"/>
        </w:rPr>
      </w:pPr>
      <w:r>
        <w:rPr>
          <w:rFonts w:hint="eastAsia" w:ascii="仿宋_GB2312" w:eastAsia="仿宋_GB2312"/>
          <w:sz w:val="32"/>
          <w:szCs w:val="32"/>
          <w:lang w:eastAsia="zh-CN"/>
        </w:rPr>
        <w:t>组  长：马  颂       区政府副区长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副组长：于长青       区卫健局局长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组  员：于景丽       区卫健局副局长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刘贺男       区发改局副局长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王  涛       区教育局副局长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谢佳玉       区民政局副局长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王立刚       区委编办副主任</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刘振林       区财政局副局长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苏允贵       区人社局副局长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蒲春江       区住建局副局长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李国旭       区应急局副局长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付志伟       市公安局丰满分局副局长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王景峰       市自然资源局丰满分局副局长</w:t>
      </w:r>
    </w:p>
    <w:p>
      <w:pPr>
        <w:pStyle w:val="9"/>
        <w:jc w:val="both"/>
        <w:rPr>
          <w:rFonts w:ascii="仿宋_GB2312" w:eastAsia="仿宋_GB2312"/>
          <w:sz w:val="32"/>
          <w:szCs w:val="32"/>
          <w:lang w:eastAsia="zh-CN"/>
        </w:rPr>
      </w:pPr>
      <w:r>
        <w:rPr>
          <w:rFonts w:hint="eastAsia" w:ascii="仿宋_GB2312" w:eastAsia="仿宋_GB2312"/>
          <w:sz w:val="32"/>
          <w:szCs w:val="32"/>
          <w:lang w:eastAsia="zh-CN"/>
        </w:rPr>
        <w:t xml:space="preserve">        范丽华       市市场监督管理局丰满分局</w:t>
      </w:r>
    </w:p>
    <w:p>
      <w:pPr>
        <w:pStyle w:val="9"/>
        <w:spacing w:after="0"/>
        <w:jc w:val="both"/>
        <w:rPr>
          <w:rFonts w:ascii="仿宋_GB2312" w:eastAsia="仿宋_GB2312"/>
          <w:sz w:val="32"/>
          <w:szCs w:val="32"/>
          <w:lang w:eastAsia="zh-CN"/>
        </w:rPr>
      </w:pPr>
      <w:r>
        <w:rPr>
          <w:rFonts w:hint="eastAsia" w:ascii="仿宋_GB2312" w:eastAsia="仿宋_GB2312"/>
          <w:sz w:val="32"/>
          <w:szCs w:val="32"/>
          <w:lang w:eastAsia="zh-CN"/>
        </w:rPr>
        <w:t xml:space="preserve">        武秋实       丰满区税务局</w:t>
      </w:r>
    </w:p>
    <w:p>
      <w:pPr>
        <w:pStyle w:val="9"/>
        <w:spacing w:after="0"/>
        <w:jc w:val="both"/>
        <w:rPr>
          <w:rFonts w:ascii="仿宋_GB2312" w:eastAsia="仿宋_GB2312"/>
          <w:sz w:val="32"/>
          <w:szCs w:val="32"/>
          <w:lang w:eastAsia="zh-CN"/>
        </w:rPr>
      </w:pPr>
      <w:r>
        <w:rPr>
          <w:rFonts w:hint="eastAsia" w:ascii="仿宋_GB2312" w:eastAsia="仿宋_GB2312"/>
          <w:sz w:val="32"/>
          <w:szCs w:val="32"/>
          <w:lang w:eastAsia="zh-CN"/>
        </w:rPr>
        <w:t xml:space="preserve">        马留生       区工会副主席</w:t>
      </w:r>
    </w:p>
    <w:p>
      <w:pPr>
        <w:spacing w:line="252" w:lineRule="auto"/>
        <w:jc w:val="both"/>
        <w:rPr>
          <w:rFonts w:ascii="仿宋_GB2312" w:hAnsi="楷体" w:eastAsia="仿宋_GB2312"/>
          <w:sz w:val="32"/>
          <w:szCs w:val="32"/>
        </w:rPr>
      </w:pPr>
      <w:r>
        <w:rPr>
          <w:rFonts w:hint="eastAsia" w:ascii="仿宋_GB2312" w:hAnsi="楷体" w:eastAsia="仿宋_GB2312"/>
          <w:sz w:val="32"/>
          <w:szCs w:val="32"/>
        </w:rPr>
        <w:t xml:space="preserve">             金冠丞       团区委书记</w:t>
      </w:r>
    </w:p>
    <w:p>
      <w:pPr>
        <w:spacing w:line="252" w:lineRule="auto"/>
        <w:jc w:val="both"/>
        <w:rPr>
          <w:rFonts w:ascii="仿宋_GB2312" w:hAnsi="楷体" w:eastAsia="仿宋_GB2312"/>
          <w:sz w:val="32"/>
          <w:szCs w:val="32"/>
        </w:rPr>
      </w:pPr>
      <w:r>
        <w:rPr>
          <w:rFonts w:hint="eastAsia" w:ascii="仿宋_GB2312" w:hAnsi="楷体" w:eastAsia="仿宋_GB2312"/>
          <w:sz w:val="32"/>
          <w:szCs w:val="32"/>
        </w:rPr>
        <w:t xml:space="preserve">             黄庆莉       区妇联</w:t>
      </w:r>
    </w:p>
    <w:p>
      <w:pPr>
        <w:jc w:val="both"/>
        <w:rPr>
          <w:rFonts w:ascii="仿宋_GB2312" w:hAnsi="楷体" w:eastAsia="仿宋_GB2312"/>
          <w:sz w:val="32"/>
          <w:szCs w:val="32"/>
        </w:rPr>
      </w:pPr>
    </w:p>
    <w:p>
      <w:pPr>
        <w:spacing w:line="432" w:lineRule="auto"/>
        <w:jc w:val="both"/>
        <w:rPr>
          <w:rFonts w:hint="eastAsia" w:cs="宋体" w:asciiTheme="majorEastAsia" w:hAnsiTheme="majorEastAsia" w:eastAsiaTheme="majorEastAsia"/>
          <w:bCs/>
          <w:color w:val="333333"/>
          <w:sz w:val="32"/>
          <w:szCs w:val="32"/>
        </w:rPr>
      </w:pPr>
    </w:p>
    <w:p>
      <w:pPr>
        <w:spacing w:line="432" w:lineRule="auto"/>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Cs/>
          <w:color w:val="333333"/>
          <w:sz w:val="32"/>
          <w:szCs w:val="32"/>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333333"/>
          <w:sz w:val="44"/>
          <w:szCs w:val="44"/>
        </w:rPr>
      </w:pPr>
      <w:r>
        <w:rPr>
          <w:rFonts w:hint="eastAsia" w:ascii="方正小标宋简体" w:hAnsi="方正小标宋简体" w:eastAsia="方正小标宋简体" w:cs="方正小标宋简体"/>
          <w:bCs/>
          <w:color w:val="333333"/>
          <w:sz w:val="44"/>
          <w:szCs w:val="44"/>
        </w:rPr>
        <w:t>促进3岁以下婴幼儿照护服务发展工作部门职责分工</w:t>
      </w:r>
    </w:p>
    <w:p>
      <w:pPr>
        <w:spacing w:line="432" w:lineRule="auto"/>
        <w:jc w:val="both"/>
        <w:rPr>
          <w:rFonts w:cs="宋体" w:asciiTheme="majorEastAsia" w:hAnsiTheme="majorEastAsia" w:eastAsiaTheme="majorEastAsia"/>
          <w:bCs/>
          <w:color w:val="333333"/>
          <w:sz w:val="32"/>
          <w:szCs w:val="32"/>
        </w:rPr>
      </w:pPr>
      <w:r>
        <w:rPr>
          <w:rFonts w:hint="eastAsia" w:ascii="仿宋_GB2312" w:hAnsi="宋体" w:eastAsia="仿宋_GB2312" w:cs="宋体"/>
          <w:b/>
          <w:color w:val="333333"/>
          <w:sz w:val="32"/>
          <w:szCs w:val="32"/>
        </w:rPr>
        <w:t>发展改革部门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负责将婴幼儿照护服务纳入经济社会发展相关规划。</w:t>
      </w:r>
    </w:p>
    <w:p>
      <w:pPr>
        <w:spacing w:line="432" w:lineRule="auto"/>
        <w:jc w:val="both"/>
        <w:rPr>
          <w:rFonts w:ascii="仿宋_GB2312" w:hAnsi="宋体" w:eastAsia="仿宋_GB2312" w:cs="宋体"/>
          <w:color w:val="333333"/>
          <w:sz w:val="32"/>
          <w:szCs w:val="32"/>
        </w:rPr>
      </w:pPr>
      <w:r>
        <w:rPr>
          <w:rFonts w:hint="eastAsia" w:ascii="仿宋_GB2312" w:hAnsi="宋体" w:eastAsia="仿宋_GB2312" w:cs="宋体"/>
          <w:b/>
          <w:color w:val="333333"/>
          <w:sz w:val="32"/>
          <w:szCs w:val="32"/>
        </w:rPr>
        <w:t>教育部门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负责各类婴幼儿照护服务人才培养。</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公安部门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负责监督指导各类婴幼儿照护服务机构开展安全防范。</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民政部门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负责非营利性婴幼儿照护服务机构法人的注册登记，推动有条件的地方将婴幼儿照护服务纳入城乡社区服务范围。</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财政部门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负责利用现有资金和政策渠道，对婴幼儿照护服务行业发展予以支持。</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人力资源社会保障部门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负责对婴幼儿照护服务从业人员开展职业技能培训，按规定予以职业资格认定，依法保障从业人员各项劳动保障权益。</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自然资源部门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负责优先保障婴幼儿照护服务机构和设施建设的土地供应，完善相关规划规范和标准。</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住房城乡建设部门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负责规划建设婴幼儿照护服务机构和设施，完善相关工程建设规范和标准。</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卫生健康部门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组织制定婴幼儿照护服务的政策规范，协调相关部门做好对婴幼儿照护服务机构的监督管理，负责婴幼儿照护卫生保健和婴幼儿早期发展的业务指导。计划生育协会负责参与婴幼儿照护服务的宣传教育和社会监督。</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应急管理部门</w:t>
      </w:r>
    </w:p>
    <w:p>
      <w:pPr>
        <w:spacing w:line="432" w:lineRule="auto"/>
        <w:ind w:firstLine="576" w:firstLineChars="200"/>
        <w:jc w:val="both"/>
        <w:rPr>
          <w:rFonts w:ascii="仿宋_GB2312" w:hAnsi="宋体" w:eastAsia="仿宋_GB2312" w:cs="宋体"/>
          <w:color w:val="333333"/>
          <w:w w:val="90"/>
          <w:sz w:val="32"/>
          <w:szCs w:val="32"/>
        </w:rPr>
      </w:pPr>
      <w:r>
        <w:rPr>
          <w:rFonts w:hint="eastAsia" w:ascii="仿宋_GB2312" w:hAnsi="宋体" w:eastAsia="仿宋_GB2312" w:cs="宋体"/>
          <w:color w:val="333333"/>
          <w:w w:val="90"/>
          <w:sz w:val="32"/>
          <w:szCs w:val="32"/>
        </w:rPr>
        <w:t>负责依法开展各类婴幼儿照护服务场所的消防监督检查工作。</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税务部门</w:t>
      </w:r>
    </w:p>
    <w:p>
      <w:pPr>
        <w:spacing w:line="432" w:lineRule="auto"/>
        <w:ind w:firstLine="576" w:firstLineChars="200"/>
        <w:jc w:val="both"/>
        <w:rPr>
          <w:rFonts w:ascii="仿宋_GB2312" w:hAnsi="宋体" w:eastAsia="仿宋_GB2312" w:cs="宋体"/>
          <w:color w:val="333333"/>
          <w:w w:val="90"/>
          <w:sz w:val="32"/>
          <w:szCs w:val="32"/>
        </w:rPr>
      </w:pPr>
      <w:r>
        <w:rPr>
          <w:rFonts w:hint="eastAsia" w:ascii="仿宋_GB2312" w:hAnsi="宋体" w:eastAsia="仿宋_GB2312" w:cs="宋体"/>
          <w:color w:val="333333"/>
          <w:w w:val="90"/>
          <w:sz w:val="32"/>
          <w:szCs w:val="32"/>
        </w:rPr>
        <w:t>负责贯彻落实有关支持婴幼儿照护服务发展的税收优惠政策。</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市场监管部门</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负责营利性婴幼儿照护服务机构法人的注册登记，对各类婴幼儿照护服务机构的饮食用药安全进行监管。</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工会组织</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负责推动用人单位为职工提供福利性婴幼儿照护服务。</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共青团组织</w:t>
      </w:r>
    </w:p>
    <w:p>
      <w:pPr>
        <w:spacing w:line="432" w:lineRule="auto"/>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负责针对青年开展婴幼儿照护相关的宣传教育。</w:t>
      </w:r>
    </w:p>
    <w:p>
      <w:pPr>
        <w:spacing w:line="432" w:lineRule="auto"/>
        <w:jc w:val="both"/>
        <w:rPr>
          <w:rFonts w:ascii="仿宋_GB2312" w:hAnsi="宋体" w:eastAsia="仿宋_GB2312" w:cs="宋体"/>
          <w:b/>
          <w:color w:val="333333"/>
          <w:sz w:val="32"/>
          <w:szCs w:val="32"/>
        </w:rPr>
      </w:pPr>
      <w:r>
        <w:rPr>
          <w:rFonts w:hint="eastAsia" w:ascii="仿宋_GB2312" w:hAnsi="宋体" w:eastAsia="仿宋_GB2312" w:cs="宋体"/>
          <w:b/>
          <w:color w:val="333333"/>
          <w:sz w:val="32"/>
          <w:szCs w:val="32"/>
        </w:rPr>
        <w:t>妇联组织</w:t>
      </w:r>
    </w:p>
    <w:p>
      <w:pPr>
        <w:spacing w:line="432" w:lineRule="auto"/>
        <w:ind w:firstLine="640" w:firstLineChars="200"/>
        <w:jc w:val="both"/>
        <w:rPr>
          <w:rFonts w:ascii="仿宋_GB2312" w:hAnsi="楷体" w:eastAsia="仿宋_GB2312"/>
          <w:sz w:val="32"/>
          <w:szCs w:val="32"/>
        </w:rPr>
      </w:pPr>
      <w:r>
        <w:rPr>
          <w:rFonts w:hint="eastAsia" w:ascii="仿宋_GB2312" w:hAnsi="宋体" w:eastAsia="仿宋_GB2312" w:cs="宋体"/>
          <w:color w:val="333333"/>
          <w:sz w:val="32"/>
          <w:szCs w:val="32"/>
        </w:rPr>
        <w:t>负责参与为家庭提供科学育儿指导服务。</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4743C"/>
    <w:multiLevelType w:val="singleLevel"/>
    <w:tmpl w:val="124474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hYTM1MmNlNzRiN2U5OTUyZGJhYTcyMGFmNDNhYWEifQ=="/>
  </w:docVars>
  <w:rsids>
    <w:rsidRoot w:val="00454A29"/>
    <w:rsid w:val="001316B5"/>
    <w:rsid w:val="001B2002"/>
    <w:rsid w:val="002C3848"/>
    <w:rsid w:val="002D69BB"/>
    <w:rsid w:val="003966DF"/>
    <w:rsid w:val="00402974"/>
    <w:rsid w:val="00454A29"/>
    <w:rsid w:val="00484D8A"/>
    <w:rsid w:val="004C2E00"/>
    <w:rsid w:val="00586CA6"/>
    <w:rsid w:val="00601A45"/>
    <w:rsid w:val="00693457"/>
    <w:rsid w:val="00770DB4"/>
    <w:rsid w:val="008D7F87"/>
    <w:rsid w:val="0090509E"/>
    <w:rsid w:val="00992BF2"/>
    <w:rsid w:val="00993479"/>
    <w:rsid w:val="009A2DF6"/>
    <w:rsid w:val="00A72AD2"/>
    <w:rsid w:val="00AD518F"/>
    <w:rsid w:val="00AE4C0F"/>
    <w:rsid w:val="00AF4350"/>
    <w:rsid w:val="00B22179"/>
    <w:rsid w:val="00C333CB"/>
    <w:rsid w:val="00C71ABD"/>
    <w:rsid w:val="00CF122C"/>
    <w:rsid w:val="00D95CC7"/>
    <w:rsid w:val="00E05F49"/>
    <w:rsid w:val="00E67317"/>
    <w:rsid w:val="00EC127A"/>
    <w:rsid w:val="00EC7A98"/>
    <w:rsid w:val="00F10C8B"/>
    <w:rsid w:val="00F201B0"/>
    <w:rsid w:val="00F90257"/>
    <w:rsid w:val="00FC579D"/>
    <w:rsid w:val="047000F1"/>
    <w:rsid w:val="05C3330C"/>
    <w:rsid w:val="0E87025F"/>
    <w:rsid w:val="271D444F"/>
    <w:rsid w:val="32CD7AD7"/>
    <w:rsid w:val="345A2D96"/>
    <w:rsid w:val="4F5C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widowControl/>
      <w:spacing w:after="200" w:line="252" w:lineRule="auto"/>
      <w:ind w:left="720"/>
      <w:contextualSpacing/>
      <w:jc w:val="left"/>
    </w:pPr>
    <w:rPr>
      <w:rFonts w:asciiTheme="majorHAnsi" w:hAnsiTheme="majorHAnsi" w:eastAsiaTheme="majorEastAsia" w:cstheme="majorBidi"/>
      <w:kern w:val="0"/>
      <w:sz w:val="22"/>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4972</Words>
  <Characters>5016</Characters>
  <Lines>38</Lines>
  <Paragraphs>10</Paragraphs>
  <TotalTime>1</TotalTime>
  <ScaleCrop>false</ScaleCrop>
  <LinksUpToDate>false</LinksUpToDate>
  <CharactersWithSpaces>5390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2020-05-23T07:26:00Z</dcterms:created>
  <dc:creator>微软用户</dc:creator>
  <cp:lastModifiedBy>Administrator</cp:lastModifiedBy>
  <cp:lastPrinted>2020-09-10T08:15:00Z</cp:lastPrinted>
  <dcterms:modified xsi:type="dcterms:W3CDTF">2023-06-07T01:24:13Z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44AF099439EF42D79F34045C9C52F2BB_12</vt:lpwstr>
  </property>
</Properties>
</file>