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长春市人民政府关于印发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长春市公共数据授权运营管理办法的通知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长府规〔2023〕3号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各县（市）、区人民政府，开发区管委会，市政府各委办局、各直属机构：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现将《长春市公共数据授权运营管理办法》印发给你们，请认真遵照执行。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长春市人民政府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2023年8月28日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sectPr>
          <w:footerReference r:id="rId5" w:type="default"/>
          <w:pgSz w:w="11900" w:h="16820"/>
          <w:pgMar w:top="1429" w:right="1516" w:bottom="1720" w:left="1589" w:header="0" w:footer="142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长春市公共数据授权运营管理办法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97" w:line="222" w:lineRule="auto"/>
        <w:ind w:left="34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第一章</w:t>
      </w:r>
      <w:r>
        <w:rPr>
          <w:rFonts w:ascii="黑体" w:hAnsi="黑体" w:eastAsia="黑体" w:cs="黑体"/>
          <w:spacing w:val="2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总则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7" w:line="357" w:lineRule="auto"/>
        <w:ind w:firstLine="644"/>
      </w:pPr>
      <w:r>
        <w:rPr>
          <w:rFonts w:ascii="黑体" w:hAnsi="黑体" w:eastAsia="黑体" w:cs="黑体"/>
          <w:b/>
          <w:bCs/>
          <w:spacing w:val="24"/>
        </w:rPr>
        <w:t>第一条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为加快公共数据开发利用，规范公共数据授权运</w:t>
      </w:r>
      <w:r>
        <w:rPr>
          <w:spacing w:val="14"/>
        </w:rPr>
        <w:t xml:space="preserve"> </w:t>
      </w:r>
      <w:r>
        <w:rPr>
          <w:spacing w:val="13"/>
        </w:rPr>
        <w:t>营，培育数据要素市场，助力经济社会高质量发展，根据《</w:t>
      </w:r>
      <w:r>
        <w:rPr>
          <w:spacing w:val="12"/>
        </w:rPr>
        <w:t>中华</w:t>
      </w:r>
      <w:r>
        <w:t xml:space="preserve"> </w:t>
      </w:r>
      <w:r>
        <w:rPr>
          <w:spacing w:val="2"/>
        </w:rPr>
        <w:t>人民共和国网络安全法》《中华人民共和国数据安全法》《吉林省</w:t>
      </w:r>
      <w:r>
        <w:rPr>
          <w:spacing w:val="11"/>
        </w:rPr>
        <w:t xml:space="preserve"> </w:t>
      </w:r>
      <w:r>
        <w:rPr>
          <w:spacing w:val="12"/>
        </w:rPr>
        <w:t>促进大数据发展应用条例》等法律法规的规定，结合我市实际，</w:t>
      </w:r>
    </w:p>
    <w:p>
      <w:pPr>
        <w:pStyle w:val="2"/>
        <w:spacing w:line="221" w:lineRule="auto"/>
      </w:pPr>
      <w:r>
        <w:rPr>
          <w:spacing w:val="3"/>
        </w:rPr>
        <w:t>制定本办法。</w:t>
      </w:r>
    </w:p>
    <w:p>
      <w:pPr>
        <w:pStyle w:val="2"/>
        <w:spacing w:before="219" w:line="355" w:lineRule="auto"/>
        <w:ind w:right="3" w:firstLine="644"/>
      </w:pPr>
      <w:r>
        <w:rPr>
          <w:rFonts w:ascii="黑体" w:hAnsi="黑体" w:eastAsia="黑体" w:cs="黑体"/>
          <w:b/>
          <w:bCs/>
          <w:spacing w:val="24"/>
        </w:rPr>
        <w:t>第二条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我市行政区域内与公共数据授权运营相关的数据</w:t>
      </w:r>
      <w:r>
        <w:rPr>
          <w:spacing w:val="11"/>
        </w:rPr>
        <w:t xml:space="preserve"> </w:t>
      </w:r>
      <w:r>
        <w:rPr>
          <w:spacing w:val="13"/>
        </w:rPr>
        <w:t>汇聚、处理、授权、加工、经营、安全、监管等活动，适用本办</w:t>
      </w:r>
    </w:p>
    <w:p>
      <w:pPr>
        <w:spacing w:line="225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法。</w:t>
      </w:r>
    </w:p>
    <w:p>
      <w:pPr>
        <w:pStyle w:val="2"/>
        <w:spacing w:before="221" w:line="358" w:lineRule="auto"/>
        <w:ind w:right="3" w:firstLine="644"/>
      </w:pPr>
      <w:r>
        <w:rPr>
          <w:rFonts w:ascii="黑体" w:hAnsi="黑体" w:eastAsia="黑体" w:cs="黑体"/>
          <w:b/>
          <w:bCs/>
          <w:spacing w:val="13"/>
        </w:rPr>
        <w:t>第三条</w:t>
      </w:r>
      <w:r>
        <w:rPr>
          <w:rFonts w:ascii="黑体" w:hAnsi="黑体" w:eastAsia="黑体" w:cs="黑体"/>
          <w:spacing w:val="5"/>
        </w:rPr>
        <w:t xml:space="preserve">  </w:t>
      </w:r>
      <w:r>
        <w:rPr>
          <w:spacing w:val="13"/>
        </w:rPr>
        <w:t>本办法所称公共数据是指我市各级行政机关、公共</w:t>
      </w:r>
      <w:r>
        <w:t xml:space="preserve"> </w:t>
      </w:r>
      <w:r>
        <w:rPr>
          <w:spacing w:val="13"/>
        </w:rPr>
        <w:t>企事业单位在依法履行职责或者提供公共服务过程中，采集</w:t>
      </w:r>
      <w:r>
        <w:rPr>
          <w:spacing w:val="12"/>
        </w:rPr>
        <w:t>或者</w:t>
      </w:r>
    </w:p>
    <w:p>
      <w:pPr>
        <w:pStyle w:val="2"/>
        <w:spacing w:line="223" w:lineRule="auto"/>
      </w:pPr>
      <w:r>
        <w:rPr>
          <w:spacing w:val="5"/>
        </w:rPr>
        <w:t>生产的各类数据。</w:t>
      </w:r>
    </w:p>
    <w:p>
      <w:pPr>
        <w:pStyle w:val="2"/>
        <w:spacing w:before="202" w:line="358" w:lineRule="auto"/>
        <w:ind w:right="21" w:firstLine="639"/>
      </w:pPr>
      <w:r>
        <w:rPr>
          <w:spacing w:val="25"/>
        </w:rPr>
        <w:t>本办法所称公共数据产品是指利用公共数据加工形成的产</w:t>
      </w:r>
      <w:r>
        <w:rPr>
          <w:spacing w:val="5"/>
        </w:rPr>
        <w:t xml:space="preserve"> </w:t>
      </w:r>
      <w:r>
        <w:rPr>
          <w:spacing w:val="13"/>
        </w:rPr>
        <w:t>品，主要形态有数据组件、数据模型、数据接口</w:t>
      </w:r>
      <w:r>
        <w:rPr>
          <w:spacing w:val="12"/>
        </w:rPr>
        <w:t>、数据服务、数</w:t>
      </w:r>
    </w:p>
    <w:p>
      <w:pPr>
        <w:pStyle w:val="2"/>
        <w:spacing w:before="1" w:line="222" w:lineRule="auto"/>
      </w:pPr>
      <w:r>
        <w:rPr>
          <w:spacing w:val="2"/>
        </w:rPr>
        <w:t>据报告等。</w:t>
      </w:r>
    </w:p>
    <w:p>
      <w:pPr>
        <w:pStyle w:val="2"/>
        <w:spacing w:before="228" w:line="350" w:lineRule="auto"/>
        <w:ind w:right="4" w:firstLine="639"/>
      </w:pPr>
      <w:r>
        <w:rPr>
          <w:spacing w:val="26"/>
        </w:rPr>
        <w:t>本办法所称公共数据授权运营是指市政府指定本级</w:t>
      </w:r>
      <w:r>
        <w:rPr>
          <w:spacing w:val="25"/>
        </w:rPr>
        <w:t>公共数</w:t>
      </w:r>
      <w:r>
        <w:t xml:space="preserve"> </w:t>
      </w:r>
      <w:r>
        <w:rPr>
          <w:spacing w:val="18"/>
        </w:rPr>
        <w:t>据主管部门依法授权法人或者非法人组织(以下简称授权运营单</w:t>
      </w:r>
    </w:p>
    <w:p>
      <w:pPr>
        <w:pStyle w:val="2"/>
        <w:spacing w:line="220" w:lineRule="auto"/>
      </w:pPr>
      <w:r>
        <w:rPr>
          <w:spacing w:val="12"/>
        </w:rPr>
        <w:t>位),对授权的公共数据进行加工处理，开发形成公共数据产品并</w:t>
      </w:r>
    </w:p>
    <w:p>
      <w:pPr>
        <w:spacing w:line="220" w:lineRule="auto"/>
        <w:sectPr>
          <w:footerReference r:id="rId6" w:type="default"/>
          <w:pgSz w:w="11900" w:h="16820"/>
          <w:pgMar w:top="1429" w:right="1516" w:bottom="1720" w:left="1589" w:header="0" w:footer="1422" w:gutter="0"/>
          <w:pgNumType w:fmt="decimal" w:start="2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603" w:lineRule="exact"/>
        <w:jc w:val="right"/>
      </w:pPr>
      <w:r>
        <w:rPr>
          <w:spacing w:val="6"/>
          <w:position w:val="22"/>
        </w:rPr>
        <w:t>向社会提供服务的行为。公共数据授权运营包括数据加工使用权、</w:t>
      </w:r>
    </w:p>
    <w:p>
      <w:pPr>
        <w:pStyle w:val="2"/>
        <w:spacing w:line="222" w:lineRule="auto"/>
      </w:pPr>
      <w:r>
        <w:rPr>
          <w:spacing w:val="7"/>
        </w:rPr>
        <w:t>数据产品经营权两类。</w:t>
      </w:r>
    </w:p>
    <w:p>
      <w:pPr>
        <w:pStyle w:val="2"/>
        <w:spacing w:before="207" w:line="357" w:lineRule="auto"/>
        <w:ind w:right="101" w:firstLine="639"/>
      </w:pPr>
      <w:r>
        <w:rPr>
          <w:spacing w:val="25"/>
        </w:rPr>
        <w:t>本办法所称授权运营协议是指公共数据主管部门与授权运</w:t>
      </w:r>
      <w:r>
        <w:rPr>
          <w:spacing w:val="17"/>
        </w:rPr>
        <w:t xml:space="preserve"> </w:t>
      </w:r>
      <w:r>
        <w:rPr>
          <w:spacing w:val="13"/>
        </w:rPr>
        <w:t>营单位就公共数据授权运营达成的书面协议。主要内容包括授权</w:t>
      </w:r>
      <w:r>
        <w:rPr>
          <w:spacing w:val="15"/>
        </w:rPr>
        <w:t xml:space="preserve"> </w:t>
      </w:r>
      <w:r>
        <w:rPr>
          <w:spacing w:val="14"/>
        </w:rPr>
        <w:t>运营单位的权利和义务、授权运营范围、运营期限、合</w:t>
      </w:r>
      <w:r>
        <w:rPr>
          <w:spacing w:val="13"/>
        </w:rPr>
        <w:t>理收益的</w:t>
      </w:r>
    </w:p>
    <w:p>
      <w:pPr>
        <w:pStyle w:val="2"/>
        <w:spacing w:line="221" w:lineRule="auto"/>
      </w:pPr>
      <w:r>
        <w:rPr>
          <w:spacing w:val="12"/>
        </w:rPr>
        <w:t>测算方法、数据安全要求、期限届满后资产处置和退出机制等。</w:t>
      </w:r>
    </w:p>
    <w:p>
      <w:pPr>
        <w:pStyle w:val="2"/>
        <w:spacing w:before="218" w:line="357" w:lineRule="auto"/>
        <w:ind w:right="106" w:firstLine="639"/>
      </w:pPr>
      <w:r>
        <w:rPr>
          <w:spacing w:val="25"/>
        </w:rPr>
        <w:t>本办法所称授权运营域是指依托电子政务外网和公共数据</w:t>
      </w:r>
      <w:r>
        <w:rPr>
          <w:spacing w:val="13"/>
        </w:rPr>
        <w:t xml:space="preserve"> 平台建设、由公共数据主管部门负责组织建设和运维、为授权运</w:t>
      </w:r>
    </w:p>
    <w:p>
      <w:pPr>
        <w:pStyle w:val="2"/>
        <w:spacing w:before="1" w:line="220" w:lineRule="auto"/>
      </w:pPr>
      <w:r>
        <w:rPr>
          <w:spacing w:val="12"/>
        </w:rPr>
        <w:t>营单位提供加工处理授权运营公共数据服务的特定</w:t>
      </w:r>
      <w:r>
        <w:rPr>
          <w:spacing w:val="11"/>
        </w:rPr>
        <w:t>安全域。</w:t>
      </w:r>
    </w:p>
    <w:p>
      <w:pPr>
        <w:pStyle w:val="2"/>
        <w:spacing w:before="218" w:line="351" w:lineRule="auto"/>
        <w:ind w:right="79" w:firstLine="644"/>
      </w:pPr>
      <w:r>
        <w:rPr>
          <w:rFonts w:ascii="黑体" w:hAnsi="黑体" w:eastAsia="黑体" w:cs="黑体"/>
          <w:b/>
          <w:bCs/>
          <w:spacing w:val="18"/>
        </w:rPr>
        <w:t>第四条</w:t>
      </w:r>
      <w:r>
        <w:rPr>
          <w:rFonts w:ascii="黑体" w:hAnsi="黑体" w:eastAsia="黑体" w:cs="黑体"/>
          <w:spacing w:val="11"/>
        </w:rPr>
        <w:t xml:space="preserve">  </w:t>
      </w:r>
      <w:r>
        <w:rPr>
          <w:spacing w:val="18"/>
        </w:rPr>
        <w:t>市政务服务和数字化建设管理局(以下简称市政数</w:t>
      </w:r>
      <w:r>
        <w:rPr>
          <w:spacing w:val="1"/>
        </w:rPr>
        <w:t xml:space="preserve"> </w:t>
      </w:r>
      <w:r>
        <w:rPr>
          <w:spacing w:val="19"/>
        </w:rPr>
        <w:t>局)作为公共数据主管部门，负责公共数据授权运营</w:t>
      </w:r>
      <w:r>
        <w:rPr>
          <w:spacing w:val="18"/>
        </w:rPr>
        <w:t>的统筹管理</w:t>
      </w:r>
      <w:r>
        <w:t xml:space="preserve"> </w:t>
      </w:r>
      <w:r>
        <w:rPr>
          <w:spacing w:val="14"/>
        </w:rPr>
        <w:t>和监督评价，组织编制我市公共数据目录，负责</w:t>
      </w:r>
      <w:r>
        <w:rPr>
          <w:spacing w:val="13"/>
        </w:rPr>
        <w:t>通过物理汇聚或</w:t>
      </w:r>
      <w:r>
        <w:t xml:space="preserve"> </w:t>
      </w:r>
      <w:r>
        <w:rPr>
          <w:spacing w:val="4"/>
        </w:rPr>
        <w:t>逻辑汇聚，全面统筹公共数据资源汇聚、治理，指导</w:t>
      </w:r>
      <w:r>
        <w:rPr>
          <w:spacing w:val="3"/>
        </w:rPr>
        <w:t>、协调、督促</w:t>
      </w:r>
    </w:p>
    <w:p>
      <w:pPr>
        <w:pStyle w:val="2"/>
        <w:spacing w:before="1" w:line="220" w:lineRule="auto"/>
      </w:pPr>
      <w:r>
        <w:rPr>
          <w:spacing w:val="12"/>
        </w:rPr>
        <w:t>其他有关部门按照各自职责做好公共数据授权运营相关工作。</w:t>
      </w:r>
    </w:p>
    <w:p>
      <w:pPr>
        <w:pStyle w:val="2"/>
        <w:spacing w:before="262" w:line="357" w:lineRule="auto"/>
        <w:ind w:right="113" w:firstLine="639"/>
      </w:pPr>
      <w:r>
        <w:rPr>
          <w:spacing w:val="12"/>
        </w:rPr>
        <w:t>公共数据提供单位负责编制本部门、本单位公共数据</w:t>
      </w:r>
      <w:r>
        <w:rPr>
          <w:spacing w:val="11"/>
        </w:rPr>
        <w:t>目录，</w:t>
      </w:r>
      <w:r>
        <w:t xml:space="preserve"> </w:t>
      </w:r>
      <w:r>
        <w:rPr>
          <w:spacing w:val="13"/>
        </w:rPr>
        <w:t>做好数据源头治理、数据分类分级，明确数据使用要求，并配合</w:t>
      </w:r>
    </w:p>
    <w:p>
      <w:pPr>
        <w:pStyle w:val="2"/>
        <w:spacing w:line="220" w:lineRule="auto"/>
      </w:pPr>
      <w:r>
        <w:rPr>
          <w:spacing w:val="9"/>
        </w:rPr>
        <w:t>公共数据主管部门开展数据汇聚工作。</w:t>
      </w:r>
    </w:p>
    <w:p>
      <w:pPr>
        <w:pStyle w:val="2"/>
        <w:spacing w:before="225" w:line="577" w:lineRule="exact"/>
        <w:ind w:left="639"/>
      </w:pPr>
      <w:r>
        <w:rPr>
          <w:spacing w:val="13"/>
          <w:position w:val="20"/>
        </w:rPr>
        <w:t>发改、财政、市场监管、知识产权等部门按照各自职责，做</w:t>
      </w:r>
    </w:p>
    <w:p>
      <w:pPr>
        <w:pStyle w:val="2"/>
        <w:spacing w:line="220" w:lineRule="auto"/>
      </w:pPr>
      <w:r>
        <w:rPr>
          <w:spacing w:val="10"/>
        </w:rPr>
        <w:t>好公共数据产品市场化的监督管理工作。</w:t>
      </w:r>
    </w:p>
    <w:p>
      <w:pPr>
        <w:pStyle w:val="2"/>
        <w:spacing w:before="224" w:line="559" w:lineRule="exact"/>
        <w:ind w:left="639"/>
      </w:pPr>
      <w:r>
        <w:rPr>
          <w:spacing w:val="13"/>
          <w:position w:val="19"/>
        </w:rPr>
        <w:t>网信、公安、国安、保密、密码等部门按照各自职责，做好</w:t>
      </w:r>
    </w:p>
    <w:p>
      <w:pPr>
        <w:pStyle w:val="2"/>
        <w:spacing w:line="220" w:lineRule="auto"/>
      </w:pPr>
      <w:r>
        <w:rPr>
          <w:spacing w:val="10"/>
        </w:rPr>
        <w:t>公共数据授权运营的安全监督管理工作。</w:t>
      </w:r>
    </w:p>
    <w:p>
      <w:pPr>
        <w:pStyle w:val="2"/>
        <w:spacing w:before="232" w:line="220" w:lineRule="auto"/>
        <w:ind w:left="644"/>
      </w:pPr>
      <w:r>
        <w:rPr>
          <w:rFonts w:ascii="黑体" w:hAnsi="黑体" w:eastAsia="黑体" w:cs="黑体"/>
          <w:b/>
          <w:bCs/>
          <w:spacing w:val="12"/>
        </w:rPr>
        <w:t>第五条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spacing w:val="12"/>
        </w:rPr>
        <w:t>公共数据授权运营应当坚持发展与安全并重，遵循</w:t>
      </w:r>
    </w:p>
    <w:p>
      <w:pPr>
        <w:spacing w:line="220" w:lineRule="auto"/>
        <w:sectPr>
          <w:footerReference r:id="rId7" w:type="default"/>
          <w:pgSz w:w="11900" w:h="16820"/>
          <w:pgMar w:top="1429" w:right="1419" w:bottom="1720" w:left="1589" w:header="0" w:footer="1425" w:gutter="0"/>
          <w:pgNumType w:fmt="decimal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8" w:line="357" w:lineRule="auto"/>
        <w:ind w:right="98"/>
      </w:pPr>
      <w:r>
        <w:rPr>
          <w:spacing w:val="14"/>
        </w:rPr>
        <w:t>依法合规、统筹规划、适度创新、安全可控的原则。授权运</w:t>
      </w:r>
      <w:r>
        <w:rPr>
          <w:spacing w:val="13"/>
        </w:rPr>
        <w:t>营单</w:t>
      </w:r>
      <w:r>
        <w:t xml:space="preserve"> </w:t>
      </w:r>
      <w:r>
        <w:rPr>
          <w:spacing w:val="12"/>
        </w:rPr>
        <w:t xml:space="preserve">位应按照有关法规和技术标准，挖掘应用场景，确认数据需求， </w:t>
      </w:r>
      <w:r>
        <w:rPr>
          <w:spacing w:val="13"/>
        </w:rPr>
        <w:t>开发数据产品，保障公共数据安全，推动公共数据资源为</w:t>
      </w:r>
      <w:r>
        <w:rPr>
          <w:spacing w:val="12"/>
        </w:rPr>
        <w:t>经济社</w:t>
      </w:r>
    </w:p>
    <w:p>
      <w:pPr>
        <w:pStyle w:val="2"/>
        <w:spacing w:line="221" w:lineRule="auto"/>
      </w:pPr>
      <w:r>
        <w:rPr>
          <w:spacing w:val="6"/>
        </w:rPr>
        <w:t>会发展赋能。</w:t>
      </w:r>
    </w:p>
    <w:p>
      <w:pPr>
        <w:pStyle w:val="2"/>
        <w:spacing w:before="227" w:line="357" w:lineRule="auto"/>
        <w:ind w:right="101" w:firstLine="644"/>
      </w:pPr>
      <w:r>
        <w:rPr>
          <w:rFonts w:ascii="黑体" w:hAnsi="黑体" w:eastAsia="黑体" w:cs="黑体"/>
          <w:b/>
          <w:bCs/>
          <w:spacing w:val="12"/>
        </w:rPr>
        <w:t>第六条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spacing w:val="12"/>
        </w:rPr>
        <w:t>在数字长春建设工作领导小组下，成立公共数据授</w:t>
      </w:r>
      <w:r>
        <w:rPr>
          <w:spacing w:val="9"/>
        </w:rPr>
        <w:t xml:space="preserve"> </w:t>
      </w:r>
      <w:r>
        <w:rPr>
          <w:spacing w:val="12"/>
        </w:rPr>
        <w:t xml:space="preserve">权运营协调工作组，工作组由政数、网信、发改、公安、国安、 </w:t>
      </w:r>
      <w:r>
        <w:rPr>
          <w:spacing w:val="13"/>
        </w:rPr>
        <w:t>司法、财政、市场监管、国资等部门组成，负责审议全市授权相</w:t>
      </w:r>
      <w:r>
        <w:rPr>
          <w:spacing w:val="7"/>
        </w:rPr>
        <w:t xml:space="preserve"> </w:t>
      </w:r>
      <w:r>
        <w:rPr>
          <w:spacing w:val="13"/>
        </w:rPr>
        <w:t>关重大事宜。工作组下设办公室，设在市公共数据主管部门，负</w:t>
      </w:r>
    </w:p>
    <w:p>
      <w:pPr>
        <w:pStyle w:val="2"/>
        <w:spacing w:line="220" w:lineRule="auto"/>
      </w:pPr>
      <w:r>
        <w:rPr>
          <w:spacing w:val="6"/>
        </w:rPr>
        <w:t>责工作组日常工作。</w:t>
      </w:r>
    </w:p>
    <w:p>
      <w:pPr>
        <w:pStyle w:val="2"/>
        <w:spacing w:before="222" w:line="220" w:lineRule="auto"/>
        <w:ind w:left="644"/>
      </w:pPr>
      <w:r>
        <w:rPr>
          <w:rFonts w:ascii="黑体" w:hAnsi="黑体" w:eastAsia="黑体" w:cs="黑体"/>
          <w:b/>
          <w:bCs/>
          <w:spacing w:val="11"/>
        </w:rPr>
        <w:t>第七条</w:t>
      </w:r>
      <w:r>
        <w:rPr>
          <w:rFonts w:ascii="黑体" w:hAnsi="黑体" w:eastAsia="黑体" w:cs="黑体"/>
          <w:spacing w:val="6"/>
        </w:rPr>
        <w:t xml:space="preserve">  </w:t>
      </w:r>
      <w:r>
        <w:rPr>
          <w:spacing w:val="11"/>
        </w:rPr>
        <w:t>公共数据授权运营协调工作组工作职责包括：</w:t>
      </w:r>
    </w:p>
    <w:p>
      <w:pPr>
        <w:pStyle w:val="2"/>
        <w:spacing w:before="214" w:line="598" w:lineRule="exact"/>
        <w:ind w:left="760"/>
      </w:pPr>
      <w:r>
        <w:rPr>
          <w:spacing w:val="20"/>
          <w:position w:val="22"/>
        </w:rPr>
        <w:t>(一)负责建立健全公共数据授权运营相关制度规范、标准</w:t>
      </w:r>
    </w:p>
    <w:p>
      <w:pPr>
        <w:pStyle w:val="2"/>
        <w:spacing w:line="220" w:lineRule="auto"/>
      </w:pPr>
      <w:r>
        <w:rPr>
          <w:spacing w:val="3"/>
        </w:rPr>
        <w:t>规范和工作机制；</w:t>
      </w:r>
    </w:p>
    <w:p>
      <w:pPr>
        <w:pStyle w:val="2"/>
        <w:spacing w:before="213" w:line="220" w:lineRule="auto"/>
        <w:ind w:left="760"/>
      </w:pPr>
      <w:r>
        <w:rPr>
          <w:spacing w:val="27"/>
        </w:rPr>
        <w:t>(二)负责组建授权运营工作专家组(以下简称专家组);</w:t>
      </w:r>
    </w:p>
    <w:p>
      <w:pPr>
        <w:pStyle w:val="2"/>
        <w:spacing w:before="226" w:line="576" w:lineRule="exact"/>
        <w:ind w:left="760"/>
      </w:pPr>
      <w:r>
        <w:rPr>
          <w:spacing w:val="20"/>
          <w:position w:val="20"/>
        </w:rPr>
        <w:t>(三)负责审议给予授权、终止或撤销授权等重大事项，监</w:t>
      </w:r>
    </w:p>
    <w:p>
      <w:pPr>
        <w:pStyle w:val="2"/>
        <w:spacing w:line="220" w:lineRule="auto"/>
      </w:pPr>
      <w:r>
        <w:rPr>
          <w:spacing w:val="9"/>
        </w:rPr>
        <w:t>督指导公共数据授权运营年度评估工作；</w:t>
      </w:r>
    </w:p>
    <w:p>
      <w:pPr>
        <w:pStyle w:val="2"/>
        <w:spacing w:before="222" w:line="580" w:lineRule="exact"/>
        <w:ind w:left="760"/>
      </w:pPr>
      <w:r>
        <w:rPr>
          <w:spacing w:val="20"/>
          <w:position w:val="20"/>
        </w:rPr>
        <w:t>(四)负责推动公共数据价值评估、安全评估、合规评估等</w:t>
      </w:r>
    </w:p>
    <w:p>
      <w:pPr>
        <w:pStyle w:val="2"/>
        <w:spacing w:before="1" w:line="220" w:lineRule="auto"/>
      </w:pPr>
      <w:r>
        <w:rPr>
          <w:spacing w:val="3"/>
        </w:rPr>
        <w:t>评估体系的建立；</w:t>
      </w:r>
    </w:p>
    <w:p>
      <w:pPr>
        <w:pStyle w:val="2"/>
        <w:spacing w:before="222" w:line="220" w:lineRule="auto"/>
        <w:ind w:left="760"/>
      </w:pPr>
      <w:r>
        <w:rPr>
          <w:spacing w:val="19"/>
        </w:rPr>
        <w:t>(五)负责解决公共数据授权运营工作中遇到</w:t>
      </w:r>
      <w:r>
        <w:rPr>
          <w:spacing w:val="18"/>
        </w:rPr>
        <w:t>的重大问题。</w:t>
      </w:r>
    </w:p>
    <w:p>
      <w:pPr>
        <w:pStyle w:val="2"/>
        <w:spacing w:before="225" w:line="351" w:lineRule="auto"/>
        <w:ind w:firstLine="644"/>
      </w:pPr>
      <w:r>
        <w:rPr>
          <w:rFonts w:ascii="黑体" w:hAnsi="黑体" w:eastAsia="黑体" w:cs="黑体"/>
          <w:b/>
          <w:bCs/>
          <w:spacing w:val="11"/>
        </w:rPr>
        <w:t>第八条</w:t>
      </w:r>
      <w:r>
        <w:rPr>
          <w:rFonts w:ascii="黑体" w:hAnsi="黑体" w:eastAsia="黑体" w:cs="黑体"/>
          <w:spacing w:val="9"/>
        </w:rPr>
        <w:t xml:space="preserve">  </w:t>
      </w:r>
      <w:r>
        <w:rPr>
          <w:spacing w:val="11"/>
        </w:rPr>
        <w:t xml:space="preserve">优先支持与民生紧密相关、行业增值潜力显著和产 </w:t>
      </w:r>
      <w:r>
        <w:rPr>
          <w:spacing w:val="6"/>
        </w:rPr>
        <w:t>业战略意义重大的信用、交通、医疗、卫生、就业、社保、地理、</w:t>
      </w:r>
      <w:r>
        <w:rPr>
          <w:spacing w:val="14"/>
        </w:rPr>
        <w:t xml:space="preserve"> 文化、教育、科技、资源、农业、环境、应急、金融、质量、统</w:t>
      </w:r>
    </w:p>
    <w:p>
      <w:pPr>
        <w:pStyle w:val="2"/>
        <w:spacing w:line="222" w:lineRule="auto"/>
      </w:pPr>
      <w:r>
        <w:rPr>
          <w:spacing w:val="12"/>
        </w:rPr>
        <w:t>计、气象、企业登记监管等领域，可开展公共数据授权运营。</w:t>
      </w:r>
    </w:p>
    <w:p>
      <w:pPr>
        <w:spacing w:line="222" w:lineRule="auto"/>
        <w:sectPr>
          <w:footerReference r:id="rId8" w:type="default"/>
          <w:pgSz w:w="11900" w:h="16820"/>
          <w:pgMar w:top="1429" w:right="1420" w:bottom="1720" w:left="1589" w:header="0" w:footer="1422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602" w:lineRule="exact"/>
        <w:ind w:right="25"/>
        <w:jc w:val="right"/>
      </w:pPr>
      <w:r>
        <w:rPr>
          <w:spacing w:val="12"/>
          <w:position w:val="22"/>
        </w:rPr>
        <w:t>涉及国家秘密、影响公共安全、有关法律法规明确规定不能</w:t>
      </w:r>
    </w:p>
    <w:p>
      <w:pPr>
        <w:pStyle w:val="2"/>
        <w:spacing w:line="222" w:lineRule="auto"/>
      </w:pPr>
      <w:r>
        <w:rPr>
          <w:spacing w:val="11"/>
        </w:rPr>
        <w:t>对社会开放的公共数据，不得开展授权运营。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97" w:line="222" w:lineRule="auto"/>
        <w:ind w:left="27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第二章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授权程序和条件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644"/>
      </w:pPr>
      <w:r>
        <w:rPr>
          <w:rFonts w:ascii="黑体" w:hAnsi="黑体" w:eastAsia="黑体" w:cs="黑体"/>
          <w:b/>
          <w:bCs/>
          <w:spacing w:val="9"/>
        </w:rPr>
        <w:t>第九条</w:t>
      </w:r>
      <w:r>
        <w:rPr>
          <w:rFonts w:ascii="黑体" w:hAnsi="黑体" w:eastAsia="黑体" w:cs="黑体"/>
          <w:spacing w:val="5"/>
        </w:rPr>
        <w:t xml:space="preserve">  </w:t>
      </w:r>
      <w:r>
        <w:rPr>
          <w:spacing w:val="9"/>
        </w:rPr>
        <w:t>公共数据授权运营程序包括：</w:t>
      </w:r>
    </w:p>
    <w:p>
      <w:pPr>
        <w:pStyle w:val="2"/>
        <w:spacing w:before="218" w:line="593" w:lineRule="exact"/>
        <w:ind w:right="13"/>
        <w:jc w:val="right"/>
      </w:pPr>
      <w:r>
        <w:rPr>
          <w:spacing w:val="20"/>
          <w:position w:val="22"/>
        </w:rPr>
        <w:t>(一)公共数据主管部门根据社会主体的数据需求，发</w:t>
      </w:r>
      <w:r>
        <w:rPr>
          <w:spacing w:val="19"/>
          <w:position w:val="22"/>
        </w:rPr>
        <w:t>布年</w:t>
      </w:r>
    </w:p>
    <w:p>
      <w:pPr>
        <w:pStyle w:val="2"/>
        <w:spacing w:line="222" w:lineRule="auto"/>
      </w:pPr>
      <w:r>
        <w:rPr>
          <w:spacing w:val="11"/>
        </w:rPr>
        <w:t>度公共数据授权运营的公告，明确授权方式和申报条件；</w:t>
      </w:r>
    </w:p>
    <w:p>
      <w:pPr>
        <w:pStyle w:val="2"/>
        <w:spacing w:before="205" w:line="359" w:lineRule="auto"/>
        <w:ind w:firstLine="760"/>
      </w:pPr>
      <w:r>
        <w:rPr>
          <w:spacing w:val="20"/>
        </w:rPr>
        <w:t>(二)授权运营申请单位应当在规定时间内向公共数据主管</w:t>
      </w:r>
      <w:r>
        <w:rPr>
          <w:spacing w:val="11"/>
        </w:rPr>
        <w:t xml:space="preserve"> </w:t>
      </w:r>
      <w:r>
        <w:rPr>
          <w:spacing w:val="14"/>
        </w:rPr>
        <w:t>部门提交申请。公共数据主管部门对申请授权运营的单位进</w:t>
      </w:r>
      <w:r>
        <w:rPr>
          <w:spacing w:val="13"/>
        </w:rPr>
        <w:t>行资</w:t>
      </w:r>
      <w:r>
        <w:t xml:space="preserve"> </w:t>
      </w:r>
      <w:r>
        <w:rPr>
          <w:spacing w:val="13"/>
        </w:rPr>
        <w:t>格审查，组织第三方专家进行综合评审，评审结果报公共数据授</w:t>
      </w:r>
    </w:p>
    <w:p>
      <w:pPr>
        <w:pStyle w:val="2"/>
        <w:spacing w:before="1" w:line="220" w:lineRule="auto"/>
      </w:pPr>
      <w:r>
        <w:rPr>
          <w:spacing w:val="8"/>
        </w:rPr>
        <w:t>权运营协调工作组审定；</w:t>
      </w:r>
    </w:p>
    <w:p>
      <w:pPr>
        <w:pStyle w:val="2"/>
        <w:spacing w:before="221" w:line="353" w:lineRule="auto"/>
        <w:ind w:right="10" w:firstLine="760"/>
      </w:pPr>
      <w:r>
        <w:rPr>
          <w:spacing w:val="20"/>
        </w:rPr>
        <w:t>(三)公共数据授权运营协调工作组审定的授权运营申请单</w:t>
      </w:r>
      <w:r>
        <w:t xml:space="preserve"> </w:t>
      </w:r>
      <w:r>
        <w:rPr>
          <w:spacing w:val="13"/>
        </w:rPr>
        <w:t>位，在与公共数据主管部门与其签订授权运营协议后开展运营活</w:t>
      </w:r>
    </w:p>
    <w:p>
      <w:pPr>
        <w:spacing w:before="1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动。</w:t>
      </w:r>
    </w:p>
    <w:p>
      <w:pPr>
        <w:pStyle w:val="2"/>
        <w:spacing w:before="238" w:line="351" w:lineRule="auto"/>
        <w:ind w:right="2" w:firstLine="644"/>
      </w:pPr>
      <w:r>
        <w:rPr>
          <w:rFonts w:ascii="黑体" w:hAnsi="黑体" w:eastAsia="黑体" w:cs="黑体"/>
          <w:b/>
          <w:bCs/>
          <w:spacing w:val="24"/>
        </w:rPr>
        <w:t>第十条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市政数局应当依托市公共数据平台建设授权运营</w:t>
      </w:r>
      <w:r>
        <w:rPr>
          <w:spacing w:val="11"/>
        </w:rPr>
        <w:t xml:space="preserve"> </w:t>
      </w:r>
      <w:r>
        <w:rPr>
          <w:spacing w:val="13"/>
        </w:rPr>
        <w:t>域，作为我市行政区域内统一的公共数据授权运营通道和管理平</w:t>
      </w:r>
      <w:r>
        <w:rPr>
          <w:spacing w:val="14"/>
        </w:rPr>
        <w:t xml:space="preserve"> </w:t>
      </w:r>
      <w:r>
        <w:rPr>
          <w:spacing w:val="12"/>
        </w:rPr>
        <w:t>台，制定全市授权运营域建设标准，并组织验收。授权运营域应</w:t>
      </w:r>
    </w:p>
    <w:p>
      <w:pPr>
        <w:pStyle w:val="2"/>
        <w:spacing w:line="222" w:lineRule="auto"/>
      </w:pPr>
      <w:r>
        <w:t>满足以下条件：</w:t>
      </w:r>
    </w:p>
    <w:p>
      <w:pPr>
        <w:pStyle w:val="2"/>
        <w:spacing w:before="248" w:line="350" w:lineRule="auto"/>
        <w:ind w:right="7" w:firstLine="760"/>
      </w:pPr>
      <w:r>
        <w:rPr>
          <w:spacing w:val="20"/>
        </w:rPr>
        <w:t>(一)安全可控，能够实现网络隔离、租户隔离、开发与生</w:t>
      </w:r>
      <w:r>
        <w:rPr>
          <w:spacing w:val="3"/>
        </w:rPr>
        <w:t xml:space="preserve"> </w:t>
      </w:r>
      <w:r>
        <w:rPr>
          <w:spacing w:val="13"/>
        </w:rPr>
        <w:t>产环境隔离，具备数据脱敏处理和数据出域审核等功能，确保全</w:t>
      </w:r>
    </w:p>
    <w:p>
      <w:pPr>
        <w:pStyle w:val="2"/>
        <w:spacing w:line="220" w:lineRule="auto"/>
      </w:pPr>
      <w:r>
        <w:rPr>
          <w:spacing w:val="10"/>
        </w:rPr>
        <w:t>流程操作可审计，数据使用过程可溯源；</w:t>
      </w:r>
    </w:p>
    <w:p>
      <w:pPr>
        <w:spacing w:line="220" w:lineRule="auto"/>
        <w:sectPr>
          <w:footerReference r:id="rId9" w:type="default"/>
          <w:pgSz w:w="11900" w:h="16820"/>
          <w:pgMar w:top="1429" w:right="1517" w:bottom="1718" w:left="1589" w:header="0" w:footer="1422" w:gutter="0"/>
          <w:pgNumType w:fmt="decimal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580" w:lineRule="exact"/>
        <w:ind w:right="75"/>
        <w:jc w:val="right"/>
      </w:pPr>
      <w:r>
        <w:rPr>
          <w:spacing w:val="21"/>
          <w:position w:val="20"/>
        </w:rPr>
        <w:t>(二)遵循已有的公共数据平台标准规范体系，复用</w:t>
      </w:r>
      <w:r>
        <w:rPr>
          <w:spacing w:val="20"/>
          <w:position w:val="20"/>
        </w:rPr>
        <w:t>统一用</w:t>
      </w:r>
    </w:p>
    <w:p>
      <w:pPr>
        <w:pStyle w:val="2"/>
        <w:spacing w:before="1" w:line="220" w:lineRule="auto"/>
        <w:jc w:val="right"/>
      </w:pPr>
      <w:r>
        <w:rPr>
          <w:spacing w:val="6"/>
        </w:rPr>
        <w:t>户认证组件、数据开放网站、用户授权服务等公共数据平台能力；</w:t>
      </w:r>
    </w:p>
    <w:p>
      <w:pPr>
        <w:pStyle w:val="2"/>
        <w:spacing w:before="222" w:line="577" w:lineRule="exact"/>
        <w:ind w:left="760"/>
      </w:pPr>
      <w:r>
        <w:rPr>
          <w:spacing w:val="20"/>
          <w:position w:val="20"/>
        </w:rPr>
        <w:t>(三)满足政府审批和监管需求，支持集成外部数据，具备</w:t>
      </w:r>
    </w:p>
    <w:p>
      <w:pPr>
        <w:pStyle w:val="2"/>
        <w:spacing w:line="220" w:lineRule="auto"/>
      </w:pPr>
      <w:r>
        <w:rPr>
          <w:spacing w:val="12"/>
        </w:rPr>
        <w:t>分布式隐私计算能力，满足授权运营单位的基本数据加工需求。</w:t>
      </w:r>
    </w:p>
    <w:p>
      <w:pPr>
        <w:pStyle w:val="2"/>
        <w:spacing w:before="232" w:line="357" w:lineRule="auto"/>
        <w:ind w:right="87" w:firstLine="654"/>
      </w:pPr>
      <w:r>
        <w:rPr>
          <w:rFonts w:ascii="黑体" w:hAnsi="黑体" w:eastAsia="黑体" w:cs="黑体"/>
          <w:b/>
          <w:bCs/>
          <w:spacing w:val="12"/>
        </w:rPr>
        <w:t>第十一条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spacing w:val="12"/>
        </w:rPr>
        <w:t>市政数局应当会同财政、审计、市场监管、统计</w:t>
      </w:r>
      <w:r>
        <w:t xml:space="preserve"> </w:t>
      </w:r>
      <w:r>
        <w:rPr>
          <w:spacing w:val="13"/>
        </w:rPr>
        <w:t>等部门制定公共数据授权运营综合评价指标，负责对授权运营单</w:t>
      </w:r>
      <w:r>
        <w:rPr>
          <w:spacing w:val="6"/>
        </w:rPr>
        <w:t xml:space="preserve"> </w:t>
      </w:r>
      <w:r>
        <w:rPr>
          <w:spacing w:val="14"/>
        </w:rPr>
        <w:t>位开展年度评估，年度评估可以委托第三方机构开展。评估结果</w:t>
      </w:r>
    </w:p>
    <w:p>
      <w:pPr>
        <w:pStyle w:val="2"/>
        <w:spacing w:line="220" w:lineRule="auto"/>
      </w:pPr>
      <w:r>
        <w:rPr>
          <w:spacing w:val="10"/>
        </w:rPr>
        <w:t>作为再次申请授权运营的重要依据。</w:t>
      </w:r>
    </w:p>
    <w:p>
      <w:pPr>
        <w:pStyle w:val="2"/>
        <w:spacing w:before="222" w:line="221" w:lineRule="auto"/>
        <w:ind w:left="654"/>
      </w:pPr>
      <w:r>
        <w:rPr>
          <w:rFonts w:ascii="黑体" w:hAnsi="黑体" w:eastAsia="黑体" w:cs="黑体"/>
          <w:b/>
          <w:bCs/>
          <w:spacing w:val="9"/>
        </w:rPr>
        <w:t>第十二条</w:t>
      </w:r>
      <w:r>
        <w:rPr>
          <w:rFonts w:ascii="黑体" w:hAnsi="黑体" w:eastAsia="黑体" w:cs="黑体"/>
          <w:spacing w:val="9"/>
        </w:rPr>
        <w:t xml:space="preserve">  </w:t>
      </w:r>
      <w:r>
        <w:rPr>
          <w:spacing w:val="9"/>
        </w:rPr>
        <w:t>授权运营单位应当满足下列资格要求：</w:t>
      </w:r>
    </w:p>
    <w:p>
      <w:pPr>
        <w:pStyle w:val="2"/>
        <w:spacing w:before="224" w:line="579" w:lineRule="exact"/>
        <w:ind w:right="85"/>
        <w:jc w:val="right"/>
      </w:pPr>
      <w:r>
        <w:rPr>
          <w:spacing w:val="20"/>
          <w:position w:val="20"/>
        </w:rPr>
        <w:t>(一)经营状况良好，具备运营领域所需的专业资质、知识</w:t>
      </w:r>
    </w:p>
    <w:p>
      <w:pPr>
        <w:pStyle w:val="2"/>
        <w:spacing w:before="1" w:line="221" w:lineRule="auto"/>
      </w:pPr>
      <w:r>
        <w:rPr>
          <w:spacing w:val="7"/>
        </w:rPr>
        <w:t>人才积累和生产服务能力；</w:t>
      </w:r>
    </w:p>
    <w:p>
      <w:pPr>
        <w:pStyle w:val="2"/>
        <w:spacing w:before="212" w:line="222" w:lineRule="auto"/>
        <w:ind w:left="760"/>
      </w:pPr>
      <w:r>
        <w:rPr>
          <w:spacing w:val="19"/>
        </w:rPr>
        <w:t>(二)企业及其法定代表人无重大违法记录；</w:t>
      </w:r>
    </w:p>
    <w:p>
      <w:pPr>
        <w:pStyle w:val="2"/>
        <w:spacing w:before="226" w:line="221" w:lineRule="auto"/>
        <w:ind w:left="760"/>
      </w:pPr>
      <w:r>
        <w:rPr>
          <w:spacing w:val="21"/>
        </w:rPr>
        <w:t>(三)企业未被列入严重失信主体名单。</w:t>
      </w:r>
    </w:p>
    <w:p>
      <w:pPr>
        <w:pStyle w:val="2"/>
        <w:spacing w:before="199" w:line="604" w:lineRule="exact"/>
        <w:ind w:right="66"/>
        <w:jc w:val="right"/>
      </w:pPr>
      <w:r>
        <w:rPr>
          <w:rFonts w:ascii="黑体" w:hAnsi="黑体" w:eastAsia="黑体" w:cs="黑体"/>
          <w:b/>
          <w:bCs/>
          <w:spacing w:val="13"/>
          <w:position w:val="22"/>
        </w:rPr>
        <w:t>第十三条</w:t>
      </w:r>
      <w:r>
        <w:rPr>
          <w:rFonts w:ascii="黑体" w:hAnsi="黑体" w:eastAsia="黑体" w:cs="黑体"/>
          <w:spacing w:val="13"/>
          <w:position w:val="22"/>
        </w:rPr>
        <w:t xml:space="preserve">  </w:t>
      </w:r>
      <w:r>
        <w:rPr>
          <w:spacing w:val="13"/>
          <w:position w:val="22"/>
        </w:rPr>
        <w:t>授权运营单位在数据运营服务中，</w:t>
      </w:r>
      <w:r>
        <w:rPr>
          <w:spacing w:val="12"/>
          <w:position w:val="22"/>
        </w:rPr>
        <w:t>应当具备下列</w:t>
      </w:r>
    </w:p>
    <w:p>
      <w:pPr>
        <w:pStyle w:val="2"/>
        <w:spacing w:before="1" w:line="222" w:lineRule="auto"/>
      </w:pPr>
      <w:r>
        <w:rPr>
          <w:spacing w:val="3"/>
        </w:rPr>
        <w:t>技术与安全要求：</w:t>
      </w:r>
    </w:p>
    <w:p>
      <w:pPr>
        <w:pStyle w:val="2"/>
        <w:spacing w:before="217" w:line="569" w:lineRule="exact"/>
        <w:ind w:left="760"/>
      </w:pPr>
      <w:r>
        <w:rPr>
          <w:spacing w:val="20"/>
          <w:position w:val="19"/>
        </w:rPr>
        <w:t>(一)明确数据安全负责人和管理部门，建立公共数据授权</w:t>
      </w:r>
    </w:p>
    <w:p>
      <w:pPr>
        <w:pStyle w:val="2"/>
        <w:spacing w:before="2" w:line="220" w:lineRule="auto"/>
      </w:pPr>
      <w:r>
        <w:rPr>
          <w:spacing w:val="9"/>
        </w:rPr>
        <w:t>运营内部管理和安全保障制度；</w:t>
      </w:r>
    </w:p>
    <w:p>
      <w:pPr>
        <w:pStyle w:val="2"/>
        <w:spacing w:before="231" w:line="569" w:lineRule="exact"/>
        <w:ind w:left="760"/>
      </w:pPr>
      <w:r>
        <w:rPr>
          <w:spacing w:val="20"/>
          <w:position w:val="19"/>
        </w:rPr>
        <w:t>(二)具备通过网络安全等级保护三级标准和商用密码安全</w:t>
      </w:r>
    </w:p>
    <w:p>
      <w:pPr>
        <w:pStyle w:val="2"/>
        <w:spacing w:line="220" w:lineRule="auto"/>
      </w:pPr>
      <w:r>
        <w:rPr>
          <w:spacing w:val="8"/>
        </w:rPr>
        <w:t>性评估的系统开发和运维实践经验；</w:t>
      </w:r>
    </w:p>
    <w:p>
      <w:pPr>
        <w:pStyle w:val="2"/>
        <w:spacing w:before="236" w:line="548" w:lineRule="exact"/>
        <w:ind w:right="77"/>
        <w:jc w:val="right"/>
      </w:pPr>
      <w:r>
        <w:rPr>
          <w:spacing w:val="21"/>
          <w:position w:val="18"/>
        </w:rPr>
        <w:t>(三)按照《数据安全管理认证实施规则》通过</w:t>
      </w:r>
      <w:r>
        <w:rPr>
          <w:spacing w:val="20"/>
          <w:position w:val="18"/>
        </w:rPr>
        <w:t>数据安全管</w:t>
      </w:r>
    </w:p>
    <w:p>
      <w:pPr>
        <w:pStyle w:val="2"/>
        <w:spacing w:line="212" w:lineRule="auto"/>
        <w:rPr>
          <w:rFonts w:ascii="Times New Roman" w:hAnsi="Times New Roman" w:eastAsia="Times New Roman" w:cs="Times New Roman"/>
        </w:rPr>
      </w:pPr>
      <w:r>
        <w:rPr>
          <w:spacing w:val="12"/>
        </w:rPr>
        <w:t>理认证规范数据处理活动，通过数据管理能力成熟度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(</w:t>
      </w:r>
      <w:r>
        <w:rPr>
          <w:rFonts w:ascii="Times New Roman" w:hAnsi="Times New Roman" w:eastAsia="Times New Roman" w:cs="Times New Roman"/>
        </w:rPr>
        <w:t>DCMM</w:t>
      </w:r>
      <w:r>
        <w:rPr>
          <w:rFonts w:ascii="Times New Roman" w:hAnsi="Times New Roman" w:eastAsia="Times New Roman" w:cs="Times New Roman"/>
          <w:spacing w:val="12"/>
        </w:rPr>
        <w:t>)</w:t>
      </w:r>
    </w:p>
    <w:p>
      <w:pPr>
        <w:pStyle w:val="2"/>
        <w:spacing w:before="236" w:line="212" w:lineRule="auto"/>
      </w:pPr>
      <w:r>
        <w:rPr>
          <w:spacing w:val="6"/>
        </w:rPr>
        <w:t>和数据安全能力成熟度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(</w:t>
      </w:r>
      <w:r>
        <w:rPr>
          <w:rFonts w:ascii="Times New Roman" w:hAnsi="Times New Roman" w:eastAsia="Times New Roman" w:cs="Times New Roman"/>
        </w:rPr>
        <w:t>DSMM</w:t>
      </w:r>
      <w:r>
        <w:rPr>
          <w:rFonts w:ascii="Times New Roman" w:hAnsi="Times New Roman" w:eastAsia="Times New Roman" w:cs="Times New Roman"/>
          <w:spacing w:val="6"/>
        </w:rPr>
        <w:t>)3</w:t>
      </w:r>
      <w:r>
        <w:rPr>
          <w:rFonts w:ascii="Times New Roman" w:hAnsi="Times New Roman" w:eastAsia="Times New Roman" w:cs="Times New Roman"/>
          <w:spacing w:val="14"/>
        </w:rPr>
        <w:t xml:space="preserve">     </w:t>
      </w:r>
      <w:r>
        <w:rPr>
          <w:spacing w:val="6"/>
        </w:rPr>
        <w:t>级以上认证；</w:t>
      </w:r>
    </w:p>
    <w:p>
      <w:pPr>
        <w:spacing w:line="212" w:lineRule="auto"/>
        <w:sectPr>
          <w:footerReference r:id="rId10" w:type="default"/>
          <w:pgSz w:w="11900" w:h="16820"/>
          <w:pgMar w:top="1429" w:right="1430" w:bottom="1720" w:left="1589" w:header="0" w:footer="1422" w:gutter="0"/>
          <w:pgNumType w:fmt="decimal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8" w:line="590" w:lineRule="exact"/>
        <w:ind w:left="750"/>
      </w:pPr>
      <w:r>
        <w:rPr>
          <w:spacing w:val="20"/>
          <w:position w:val="21"/>
        </w:rPr>
        <w:t>(四)公共数据安全体系评估结果无中高风险</w:t>
      </w:r>
      <w:r>
        <w:rPr>
          <w:spacing w:val="19"/>
          <w:position w:val="21"/>
        </w:rPr>
        <w:t>项。</w:t>
      </w:r>
    </w:p>
    <w:p>
      <w:pPr>
        <w:pStyle w:val="2"/>
        <w:spacing w:before="1" w:line="220" w:lineRule="auto"/>
        <w:ind w:left="634"/>
      </w:pPr>
      <w:r>
        <w:rPr>
          <w:rFonts w:ascii="黑体" w:hAnsi="黑体" w:eastAsia="黑体" w:cs="黑体"/>
          <w:b/>
          <w:bCs/>
          <w:spacing w:val="9"/>
        </w:rPr>
        <w:t>第十四条</w:t>
      </w:r>
      <w:r>
        <w:rPr>
          <w:rFonts w:ascii="黑体" w:hAnsi="黑体" w:eastAsia="黑体" w:cs="黑体"/>
          <w:spacing w:val="9"/>
        </w:rPr>
        <w:t xml:space="preserve">  </w:t>
      </w:r>
      <w:r>
        <w:rPr>
          <w:spacing w:val="9"/>
        </w:rPr>
        <w:t>授权运营单位依法享有以下权益：</w:t>
      </w:r>
    </w:p>
    <w:p>
      <w:pPr>
        <w:pStyle w:val="2"/>
        <w:spacing w:before="209" w:line="357" w:lineRule="auto"/>
        <w:ind w:right="128" w:firstLine="750"/>
      </w:pPr>
      <w:r>
        <w:rPr>
          <w:spacing w:val="20"/>
        </w:rPr>
        <w:t>(一)授权运营单位在数据加工处理或提供服务过程中发现</w:t>
      </w:r>
      <w:r>
        <w:rPr>
          <w:spacing w:val="10"/>
        </w:rPr>
        <w:t xml:space="preserve"> </w:t>
      </w:r>
      <w:r>
        <w:rPr>
          <w:spacing w:val="12"/>
        </w:rPr>
        <w:t>公共数据质量问题的，可以向市政数局提出数据治理需求。市政</w:t>
      </w:r>
    </w:p>
    <w:p>
      <w:pPr>
        <w:pStyle w:val="2"/>
        <w:spacing w:line="219" w:lineRule="auto"/>
      </w:pPr>
      <w:r>
        <w:rPr>
          <w:spacing w:val="12"/>
        </w:rPr>
        <w:t>数局应当督促数据提供单位在规定期限内完成数据治</w:t>
      </w:r>
      <w:r>
        <w:rPr>
          <w:spacing w:val="11"/>
        </w:rPr>
        <w:t>理；</w:t>
      </w:r>
    </w:p>
    <w:p>
      <w:pPr>
        <w:pStyle w:val="2"/>
        <w:spacing w:before="235" w:line="569" w:lineRule="exact"/>
        <w:ind w:left="750"/>
      </w:pPr>
      <w:r>
        <w:rPr>
          <w:spacing w:val="20"/>
          <w:position w:val="20"/>
        </w:rPr>
        <w:t>(二)授权运营单位对加工形成的公共数据产品，可以向用</w:t>
      </w:r>
    </w:p>
    <w:p>
      <w:pPr>
        <w:pStyle w:val="2"/>
        <w:spacing w:before="1" w:line="220" w:lineRule="auto"/>
      </w:pPr>
      <w:r>
        <w:rPr>
          <w:spacing w:val="8"/>
        </w:rPr>
        <w:t>户提供并获取合理收益。</w:t>
      </w:r>
    </w:p>
    <w:p>
      <w:pPr>
        <w:pStyle w:val="2"/>
        <w:spacing w:before="222" w:line="221" w:lineRule="auto"/>
        <w:ind w:left="634"/>
      </w:pPr>
      <w:r>
        <w:rPr>
          <w:rFonts w:ascii="黑体" w:hAnsi="黑体" w:eastAsia="黑体" w:cs="黑体"/>
          <w:b/>
          <w:bCs/>
          <w:spacing w:val="9"/>
        </w:rPr>
        <w:t>第十五条</w:t>
      </w:r>
      <w:r>
        <w:rPr>
          <w:rFonts w:ascii="黑体" w:hAnsi="黑体" w:eastAsia="黑体" w:cs="黑体"/>
          <w:spacing w:val="9"/>
        </w:rPr>
        <w:t xml:space="preserve">  </w:t>
      </w:r>
      <w:r>
        <w:rPr>
          <w:spacing w:val="9"/>
        </w:rPr>
        <w:t>授权运营单位应当履行以下义务：</w:t>
      </w:r>
    </w:p>
    <w:p>
      <w:pPr>
        <w:pStyle w:val="2"/>
        <w:spacing w:before="212" w:line="590" w:lineRule="exact"/>
        <w:jc w:val="right"/>
      </w:pPr>
      <w:r>
        <w:rPr>
          <w:spacing w:val="13"/>
          <w:position w:val="21"/>
        </w:rPr>
        <w:t>(一)授权运营单位应当主动开展市场调研，挖掘应用场景，</w:t>
      </w:r>
    </w:p>
    <w:p>
      <w:pPr>
        <w:pStyle w:val="2"/>
        <w:spacing w:before="1" w:line="220" w:lineRule="auto"/>
      </w:pPr>
      <w:r>
        <w:rPr>
          <w:spacing w:val="10"/>
        </w:rPr>
        <w:t>开发符合社会主体需要的优质公共数据产品；</w:t>
      </w:r>
    </w:p>
    <w:p>
      <w:pPr>
        <w:pStyle w:val="2"/>
        <w:spacing w:before="210" w:line="361" w:lineRule="auto"/>
        <w:ind w:right="130" w:firstLine="750"/>
      </w:pPr>
      <w:r>
        <w:rPr>
          <w:spacing w:val="20"/>
        </w:rPr>
        <w:t>(二)授权运营单位应当依法合规开展公共数据运营，不得</w:t>
      </w:r>
      <w:r>
        <w:rPr>
          <w:spacing w:val="7"/>
        </w:rPr>
        <w:t xml:space="preserve"> </w:t>
      </w:r>
      <w:r>
        <w:rPr>
          <w:spacing w:val="13"/>
        </w:rPr>
        <w:t>泄露、篡改或者毁损公共数据，不得将授权运营的公共数据提供</w:t>
      </w:r>
    </w:p>
    <w:p>
      <w:pPr>
        <w:pStyle w:val="2"/>
        <w:spacing w:before="1" w:line="222" w:lineRule="auto"/>
      </w:pPr>
      <w:r>
        <w:t>给第三方；</w:t>
      </w:r>
    </w:p>
    <w:p>
      <w:pPr>
        <w:pStyle w:val="2"/>
        <w:spacing w:before="196" w:line="589" w:lineRule="exact"/>
        <w:ind w:left="750"/>
      </w:pPr>
      <w:r>
        <w:rPr>
          <w:spacing w:val="20"/>
          <w:position w:val="21"/>
        </w:rPr>
        <w:t>(三)授权运营单位应当定期报告运营情况，接受市</w:t>
      </w:r>
      <w:r>
        <w:rPr>
          <w:spacing w:val="19"/>
          <w:position w:val="21"/>
        </w:rPr>
        <w:t>政数局</w:t>
      </w:r>
    </w:p>
    <w:p>
      <w:pPr>
        <w:pStyle w:val="2"/>
        <w:spacing w:line="220" w:lineRule="auto"/>
      </w:pPr>
      <w:r>
        <w:rPr>
          <w:spacing w:val="-2"/>
        </w:rPr>
        <w:t>的监督检查；</w:t>
      </w:r>
    </w:p>
    <w:p>
      <w:pPr>
        <w:pStyle w:val="2"/>
        <w:spacing w:before="234" w:line="351" w:lineRule="auto"/>
        <w:ind w:right="118" w:firstLine="750"/>
      </w:pPr>
      <w:r>
        <w:rPr>
          <w:spacing w:val="20"/>
        </w:rPr>
        <w:t>(四)授权运营单位应当完善公共数据安全制度，建立健全</w:t>
      </w:r>
      <w:r>
        <w:rPr>
          <w:spacing w:val="6"/>
        </w:rPr>
        <w:t xml:space="preserve"> </w:t>
      </w:r>
      <w:r>
        <w:rPr>
          <w:spacing w:val="14"/>
        </w:rPr>
        <w:t>高效的技术防护和运行管理体系，确保公共数据安全，切实</w:t>
      </w:r>
      <w:r>
        <w:rPr>
          <w:spacing w:val="13"/>
        </w:rPr>
        <w:t>保护</w:t>
      </w:r>
    </w:p>
    <w:p>
      <w:pPr>
        <w:pStyle w:val="2"/>
        <w:spacing w:before="1" w:line="221" w:lineRule="auto"/>
      </w:pPr>
      <w:r>
        <w:rPr>
          <w:spacing w:val="4"/>
        </w:rPr>
        <w:t>个人信息。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98" w:line="221" w:lineRule="auto"/>
        <w:ind w:left="23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第三章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数据申请与开发利用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98" w:line="220" w:lineRule="auto"/>
        <w:ind w:left="634"/>
      </w:pPr>
      <w:r>
        <w:rPr>
          <w:rFonts w:ascii="黑体" w:hAnsi="黑体" w:eastAsia="黑体" w:cs="黑体"/>
          <w:b/>
          <w:bCs/>
          <w:spacing w:val="10"/>
        </w:rPr>
        <w:t>第十六条</w:t>
      </w:r>
      <w:r>
        <w:rPr>
          <w:rFonts w:ascii="黑体" w:hAnsi="黑体" w:eastAsia="黑体" w:cs="黑体"/>
          <w:spacing w:val="10"/>
        </w:rPr>
        <w:t xml:space="preserve">  </w:t>
      </w:r>
      <w:r>
        <w:rPr>
          <w:spacing w:val="10"/>
        </w:rPr>
        <w:t>授权运营单位应当按照应用场景申请公共数据，</w:t>
      </w:r>
    </w:p>
    <w:p>
      <w:pPr>
        <w:spacing w:line="220" w:lineRule="auto"/>
        <w:sectPr>
          <w:footerReference r:id="rId11" w:type="default"/>
          <w:pgSz w:w="11900" w:h="16820"/>
          <w:pgMar w:top="1429" w:right="1390" w:bottom="1738" w:left="1599" w:header="0" w:footer="1442" w:gutter="0"/>
          <w:pgNumType w:fmt="decimal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94" w:line="220" w:lineRule="auto"/>
        <w:rPr>
          <w:sz w:val="29"/>
          <w:szCs w:val="29"/>
        </w:rPr>
      </w:pPr>
      <w:r>
        <w:rPr>
          <w:spacing w:val="20"/>
          <w:sz w:val="29"/>
          <w:szCs w:val="29"/>
        </w:rPr>
        <w:t>遵循一场景一授权原则，并满足下列要求：</w:t>
      </w:r>
    </w:p>
    <w:p>
      <w:pPr>
        <w:pStyle w:val="2"/>
        <w:spacing w:before="244" w:line="571" w:lineRule="exact"/>
        <w:jc w:val="right"/>
        <w:rPr>
          <w:sz w:val="29"/>
          <w:szCs w:val="29"/>
        </w:rPr>
      </w:pPr>
      <w:r>
        <w:rPr>
          <w:spacing w:val="30"/>
          <w:position w:val="21"/>
          <w:sz w:val="29"/>
          <w:szCs w:val="29"/>
        </w:rPr>
        <w:t>(一)应用场景明确，合作伙伴明确，使用范围明确，且具</w:t>
      </w:r>
    </w:p>
    <w:p>
      <w:pPr>
        <w:pStyle w:val="2"/>
        <w:spacing w:before="1" w:line="220" w:lineRule="auto"/>
        <w:rPr>
          <w:sz w:val="29"/>
          <w:szCs w:val="29"/>
        </w:rPr>
      </w:pPr>
      <w:r>
        <w:rPr>
          <w:spacing w:val="16"/>
          <w:sz w:val="29"/>
          <w:szCs w:val="29"/>
        </w:rPr>
        <w:t>有社会价值或经济价值；</w:t>
      </w:r>
    </w:p>
    <w:p>
      <w:pPr>
        <w:pStyle w:val="2"/>
        <w:spacing w:before="220" w:line="584" w:lineRule="exact"/>
        <w:ind w:right="9"/>
        <w:jc w:val="right"/>
        <w:rPr>
          <w:sz w:val="29"/>
          <w:szCs w:val="29"/>
        </w:rPr>
      </w:pPr>
      <w:r>
        <w:rPr>
          <w:spacing w:val="30"/>
          <w:position w:val="22"/>
          <w:sz w:val="29"/>
          <w:szCs w:val="29"/>
        </w:rPr>
        <w:t>(二)应用场景具有较强的可实施性，在授权运营期限</w:t>
      </w:r>
      <w:r>
        <w:rPr>
          <w:spacing w:val="29"/>
          <w:position w:val="22"/>
          <w:sz w:val="29"/>
          <w:szCs w:val="29"/>
        </w:rPr>
        <w:t>内有</w:t>
      </w:r>
    </w:p>
    <w:p>
      <w:pPr>
        <w:pStyle w:val="2"/>
        <w:spacing w:line="221" w:lineRule="auto"/>
        <w:rPr>
          <w:sz w:val="29"/>
          <w:szCs w:val="29"/>
        </w:rPr>
      </w:pPr>
      <w:r>
        <w:rPr>
          <w:spacing w:val="19"/>
          <w:sz w:val="29"/>
          <w:szCs w:val="29"/>
        </w:rPr>
        <w:t>明确目标和计划，能够取得显著成效；</w:t>
      </w:r>
    </w:p>
    <w:p>
      <w:pPr>
        <w:pStyle w:val="2"/>
        <w:spacing w:before="229" w:line="220" w:lineRule="auto"/>
        <w:ind w:left="750"/>
        <w:rPr>
          <w:sz w:val="29"/>
          <w:szCs w:val="29"/>
        </w:rPr>
      </w:pPr>
      <w:r>
        <w:rPr>
          <w:spacing w:val="29"/>
          <w:sz w:val="29"/>
          <w:szCs w:val="29"/>
        </w:rPr>
        <w:t>(三)申请使用公共数据应当符合最小必要的原则。</w:t>
      </w:r>
    </w:p>
    <w:p>
      <w:pPr>
        <w:pStyle w:val="2"/>
        <w:spacing w:before="235" w:line="591" w:lineRule="exact"/>
        <w:ind w:right="18"/>
        <w:jc w:val="right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21"/>
          <w:position w:val="22"/>
          <w:sz w:val="29"/>
          <w:szCs w:val="29"/>
        </w:rPr>
        <w:t>第十七条</w:t>
      </w:r>
      <w:r>
        <w:rPr>
          <w:rFonts w:ascii="黑体" w:hAnsi="黑体" w:eastAsia="黑体" w:cs="黑体"/>
          <w:spacing w:val="21"/>
          <w:position w:val="22"/>
          <w:sz w:val="29"/>
          <w:szCs w:val="29"/>
        </w:rPr>
        <w:t xml:space="preserve">  </w:t>
      </w:r>
      <w:r>
        <w:rPr>
          <w:spacing w:val="21"/>
          <w:position w:val="22"/>
          <w:sz w:val="29"/>
          <w:szCs w:val="29"/>
        </w:rPr>
        <w:t>授权运营单位应当向市政数局提出需求申请，经</w:t>
      </w:r>
    </w:p>
    <w:p>
      <w:pPr>
        <w:pStyle w:val="2"/>
        <w:spacing w:before="1" w:line="220" w:lineRule="auto"/>
        <w:rPr>
          <w:sz w:val="29"/>
          <w:szCs w:val="29"/>
        </w:rPr>
      </w:pPr>
      <w:r>
        <w:rPr>
          <w:spacing w:val="19"/>
          <w:sz w:val="29"/>
          <w:szCs w:val="29"/>
        </w:rPr>
        <w:t>市政数局会同数据提供单位审核同意后获取。</w:t>
      </w:r>
    </w:p>
    <w:p>
      <w:pPr>
        <w:pStyle w:val="2"/>
        <w:spacing w:before="232" w:line="364" w:lineRule="auto"/>
        <w:ind w:right="9" w:firstLine="6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34"/>
          <w:sz w:val="29"/>
          <w:szCs w:val="29"/>
        </w:rPr>
        <w:t>第十八条</w:t>
      </w:r>
      <w:r>
        <w:rPr>
          <w:rFonts w:ascii="黑体" w:hAnsi="黑体" w:eastAsia="黑体" w:cs="黑体"/>
          <w:spacing w:val="34"/>
          <w:sz w:val="29"/>
          <w:szCs w:val="29"/>
        </w:rPr>
        <w:t xml:space="preserve">  </w:t>
      </w:r>
      <w:r>
        <w:rPr>
          <w:spacing w:val="34"/>
          <w:sz w:val="29"/>
          <w:szCs w:val="29"/>
        </w:rPr>
        <w:t>授权运营单位应当在授权运营域内对授权</w:t>
      </w:r>
      <w:r>
        <w:rPr>
          <w:spacing w:val="33"/>
          <w:sz w:val="29"/>
          <w:szCs w:val="29"/>
        </w:rPr>
        <w:t>运营</w:t>
      </w:r>
      <w:r>
        <w:rPr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的公共数据进行加工处理，形成公共数据产品。加工处理公共数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15"/>
          <w:sz w:val="29"/>
          <w:szCs w:val="29"/>
        </w:rPr>
        <w:t>据应满足下列要求：</w:t>
      </w:r>
    </w:p>
    <w:p>
      <w:pPr>
        <w:pStyle w:val="2"/>
        <w:spacing w:before="249" w:line="370" w:lineRule="auto"/>
        <w:ind w:right="10" w:firstLine="750"/>
        <w:rPr>
          <w:sz w:val="29"/>
          <w:szCs w:val="29"/>
        </w:rPr>
      </w:pPr>
      <w:r>
        <w:rPr>
          <w:spacing w:val="30"/>
          <w:sz w:val="29"/>
          <w:szCs w:val="29"/>
        </w:rPr>
        <w:t>(一)授权运营单位所有参与数据加工处理的人员须</w:t>
      </w:r>
      <w:r>
        <w:rPr>
          <w:spacing w:val="29"/>
          <w:sz w:val="29"/>
          <w:szCs w:val="29"/>
        </w:rPr>
        <w:t>经实名</w:t>
      </w:r>
      <w:r>
        <w:rPr>
          <w:sz w:val="29"/>
          <w:szCs w:val="29"/>
        </w:rPr>
        <w:t xml:space="preserve"> </w:t>
      </w:r>
      <w:r>
        <w:rPr>
          <w:spacing w:val="22"/>
          <w:sz w:val="29"/>
          <w:szCs w:val="29"/>
        </w:rPr>
        <w:t>认证、备案与审查，签订保密协议，操作行为应当做到有</w:t>
      </w:r>
      <w:r>
        <w:rPr>
          <w:spacing w:val="21"/>
          <w:sz w:val="29"/>
          <w:szCs w:val="29"/>
        </w:rPr>
        <w:t>记录、</w:t>
      </w:r>
    </w:p>
    <w:p>
      <w:pPr>
        <w:pStyle w:val="2"/>
        <w:spacing w:line="222" w:lineRule="auto"/>
        <w:rPr>
          <w:sz w:val="29"/>
          <w:szCs w:val="29"/>
        </w:rPr>
      </w:pPr>
      <w:r>
        <w:rPr>
          <w:spacing w:val="1"/>
          <w:sz w:val="29"/>
          <w:szCs w:val="29"/>
        </w:rPr>
        <w:t>可审查；</w:t>
      </w:r>
    </w:p>
    <w:p>
      <w:pPr>
        <w:pStyle w:val="2"/>
        <w:spacing w:before="229" w:line="567" w:lineRule="exact"/>
        <w:ind w:right="6"/>
        <w:jc w:val="right"/>
        <w:rPr>
          <w:sz w:val="29"/>
          <w:szCs w:val="29"/>
        </w:rPr>
      </w:pPr>
      <w:r>
        <w:rPr>
          <w:spacing w:val="30"/>
          <w:position w:val="20"/>
          <w:sz w:val="29"/>
          <w:szCs w:val="29"/>
        </w:rPr>
        <w:t>(二)原始数据对数据加工人员不可见。授权运营单位使用</w:t>
      </w:r>
    </w:p>
    <w:p>
      <w:pPr>
        <w:pStyle w:val="2"/>
        <w:spacing w:before="1" w:line="219" w:lineRule="auto"/>
        <w:rPr>
          <w:sz w:val="29"/>
          <w:szCs w:val="29"/>
        </w:rPr>
      </w:pPr>
      <w:r>
        <w:rPr>
          <w:spacing w:val="21"/>
          <w:sz w:val="29"/>
          <w:szCs w:val="29"/>
        </w:rPr>
        <w:t>经抽样、脱敏后公共数据进行数据产品的模型训练与验证；</w:t>
      </w:r>
    </w:p>
    <w:p>
      <w:pPr>
        <w:pStyle w:val="2"/>
        <w:spacing w:before="228" w:line="363" w:lineRule="auto"/>
        <w:ind w:right="19" w:firstLine="750"/>
        <w:rPr>
          <w:sz w:val="29"/>
          <w:szCs w:val="29"/>
        </w:rPr>
      </w:pPr>
      <w:r>
        <w:rPr>
          <w:spacing w:val="29"/>
          <w:sz w:val="29"/>
          <w:szCs w:val="29"/>
        </w:rPr>
        <w:t>(三)经市政数局审核批准后，授权运营单位可以将依法合</w:t>
      </w:r>
      <w:r>
        <w:rPr>
          <w:spacing w:val="10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规获取的社会数据导入授权运营域，与授权运营的公共数据进行</w:t>
      </w:r>
    </w:p>
    <w:p>
      <w:pPr>
        <w:pStyle w:val="2"/>
        <w:spacing w:before="1" w:line="221" w:lineRule="auto"/>
        <w:rPr>
          <w:sz w:val="29"/>
          <w:szCs w:val="29"/>
        </w:rPr>
      </w:pPr>
      <w:r>
        <w:rPr>
          <w:spacing w:val="9"/>
          <w:sz w:val="29"/>
          <w:szCs w:val="29"/>
        </w:rPr>
        <w:t>融合计算。</w:t>
      </w:r>
    </w:p>
    <w:p>
      <w:pPr>
        <w:pStyle w:val="2"/>
        <w:spacing w:before="270" w:line="363" w:lineRule="auto"/>
        <w:ind w:right="19" w:firstLine="6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33"/>
          <w:sz w:val="29"/>
          <w:szCs w:val="29"/>
        </w:rPr>
        <w:t>第十九条</w:t>
      </w:r>
      <w:r>
        <w:rPr>
          <w:rFonts w:ascii="黑体" w:hAnsi="黑体" w:eastAsia="黑体" w:cs="黑体"/>
          <w:spacing w:val="33"/>
          <w:sz w:val="29"/>
          <w:szCs w:val="29"/>
        </w:rPr>
        <w:t xml:space="preserve">  </w:t>
      </w:r>
      <w:r>
        <w:rPr>
          <w:spacing w:val="33"/>
          <w:sz w:val="29"/>
          <w:szCs w:val="29"/>
        </w:rPr>
        <w:t>授权运营单位在授权运营域内进行数据加工处</w:t>
      </w:r>
      <w:r>
        <w:rPr>
          <w:spacing w:val="14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理，应当承担授权运营域公共数据基础设施的资源消耗，以及数</w:t>
      </w:r>
    </w:p>
    <w:p>
      <w:pPr>
        <w:pStyle w:val="2"/>
        <w:spacing w:line="220" w:lineRule="auto"/>
        <w:rPr>
          <w:sz w:val="29"/>
          <w:szCs w:val="29"/>
        </w:rPr>
      </w:pPr>
      <w:r>
        <w:rPr>
          <w:spacing w:val="20"/>
          <w:sz w:val="29"/>
          <w:szCs w:val="29"/>
        </w:rPr>
        <w:t>据脱敏、模型发布、结果导出服务等成本。</w:t>
      </w:r>
    </w:p>
    <w:p>
      <w:pPr>
        <w:spacing w:line="220" w:lineRule="auto"/>
        <w:rPr>
          <w:sz w:val="29"/>
          <w:szCs w:val="29"/>
        </w:rPr>
        <w:sectPr>
          <w:footerReference r:id="rId12" w:type="default"/>
          <w:pgSz w:w="11900" w:h="16820"/>
          <w:pgMar w:top="1429" w:right="1510" w:bottom="1713" w:left="1599" w:header="0" w:footer="1425" w:gutter="0"/>
          <w:pgNumType w:fmt="decimal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97" w:line="358" w:lineRule="auto"/>
        <w:ind w:firstLine="654"/>
        <w:jc w:val="both"/>
      </w:pPr>
      <w:r>
        <w:rPr>
          <w:rFonts w:ascii="黑体" w:hAnsi="黑体" w:eastAsia="黑体" w:cs="黑体"/>
          <w:b/>
          <w:bCs/>
          <w:spacing w:val="11"/>
        </w:rPr>
        <w:t>第二十条</w:t>
      </w:r>
      <w:r>
        <w:rPr>
          <w:rFonts w:ascii="黑体" w:hAnsi="黑体" w:eastAsia="黑体" w:cs="黑体"/>
          <w:spacing w:val="11"/>
        </w:rPr>
        <w:t xml:space="preserve">  </w:t>
      </w:r>
      <w:r>
        <w:rPr>
          <w:spacing w:val="11"/>
        </w:rPr>
        <w:t xml:space="preserve">公共治理、公益事业的公共数据采用有条件无偿 </w:t>
      </w:r>
      <w:r>
        <w:rPr>
          <w:spacing w:val="7"/>
        </w:rPr>
        <w:t>使用方式进行授权，产业发展、行业发展的公共数据在价值评估、</w:t>
      </w:r>
      <w:r>
        <w:rPr>
          <w:spacing w:val="15"/>
        </w:rPr>
        <w:t xml:space="preserve"> </w:t>
      </w:r>
      <w:r>
        <w:rPr>
          <w:spacing w:val="13"/>
        </w:rPr>
        <w:t>价格评估的基础上采用有条件有偿方式进行授权，并在授权运营</w:t>
      </w:r>
    </w:p>
    <w:p>
      <w:pPr>
        <w:pStyle w:val="2"/>
        <w:spacing w:line="222" w:lineRule="auto"/>
      </w:pPr>
      <w:r>
        <w:rPr>
          <w:spacing w:val="5"/>
        </w:rPr>
        <w:t>协议中予以约定。</w:t>
      </w:r>
    </w:p>
    <w:p>
      <w:pPr>
        <w:pStyle w:val="2"/>
        <w:spacing w:before="216" w:line="357" w:lineRule="auto"/>
        <w:ind w:right="128" w:firstLine="654"/>
        <w:jc w:val="both"/>
      </w:pPr>
      <w:r>
        <w:rPr>
          <w:rFonts w:ascii="黑体" w:hAnsi="黑体" w:eastAsia="黑体" w:cs="黑体"/>
          <w:b/>
          <w:bCs/>
          <w:spacing w:val="24"/>
        </w:rPr>
        <w:t>第二十一条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授权运营单位应当严格执行公共数</w:t>
      </w:r>
      <w:r>
        <w:rPr>
          <w:spacing w:val="23"/>
        </w:rPr>
        <w:t>据产品定</w:t>
      </w:r>
      <w:r>
        <w:t xml:space="preserve"> </w:t>
      </w:r>
      <w:r>
        <w:rPr>
          <w:spacing w:val="13"/>
        </w:rPr>
        <w:t>价和合理收益有关规定，并依据授权协议在公共数据授权运营参</w:t>
      </w:r>
    </w:p>
    <w:p>
      <w:pPr>
        <w:pStyle w:val="2"/>
        <w:spacing w:before="1" w:line="220" w:lineRule="auto"/>
      </w:pPr>
      <w:r>
        <w:rPr>
          <w:spacing w:val="7"/>
        </w:rPr>
        <w:t>与方之间进行合理的收益分配。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97" w:line="221" w:lineRule="auto"/>
        <w:ind w:left="23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第四章</w:t>
      </w:r>
      <w:r>
        <w:rPr>
          <w:rFonts w:ascii="黑体" w:hAnsi="黑体" w:eastAsia="黑体" w:cs="黑体"/>
          <w:spacing w:val="3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数据安全与监督管理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7" w:line="351" w:lineRule="auto"/>
        <w:ind w:right="119" w:firstLine="654"/>
        <w:jc w:val="both"/>
      </w:pPr>
      <w:r>
        <w:rPr>
          <w:rFonts w:ascii="黑体" w:hAnsi="黑体" w:eastAsia="黑体" w:cs="黑体"/>
          <w:b/>
          <w:bCs/>
          <w:spacing w:val="24"/>
        </w:rPr>
        <w:t>第二十二条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市政数局应当建立授权运营</w:t>
      </w:r>
      <w:r>
        <w:rPr>
          <w:spacing w:val="23"/>
        </w:rPr>
        <w:t>安全防护技术标</w:t>
      </w:r>
      <w:r>
        <w:t xml:space="preserve"> </w:t>
      </w:r>
      <w:r>
        <w:rPr>
          <w:spacing w:val="14"/>
        </w:rPr>
        <w:t>准和规范，完善安全审查、风险评估、监测预警等管理</w:t>
      </w:r>
      <w:r>
        <w:rPr>
          <w:spacing w:val="13"/>
        </w:rPr>
        <w:t>机制，健</w:t>
      </w:r>
      <w:r>
        <w:t xml:space="preserve"> </w:t>
      </w:r>
      <w:r>
        <w:rPr>
          <w:spacing w:val="14"/>
        </w:rPr>
        <w:t>全公共数据授权运营安全应急处置预案，实施公共数据授权运营</w:t>
      </w:r>
      <w:r>
        <w:rPr>
          <w:spacing w:val="7"/>
        </w:rPr>
        <w:t xml:space="preserve"> </w:t>
      </w:r>
      <w:r>
        <w:rPr>
          <w:spacing w:val="14"/>
        </w:rPr>
        <w:t>安全审计，监督授权运营单位落实公共数据开发利用</w:t>
      </w:r>
      <w:r>
        <w:rPr>
          <w:spacing w:val="13"/>
        </w:rPr>
        <w:t>与安全管理</w:t>
      </w:r>
    </w:p>
    <w:p>
      <w:pPr>
        <w:pStyle w:val="2"/>
        <w:spacing w:before="1" w:line="223" w:lineRule="auto"/>
      </w:pPr>
      <w:r>
        <w:t>责任。</w:t>
      </w:r>
    </w:p>
    <w:p>
      <w:pPr>
        <w:pStyle w:val="2"/>
        <w:spacing w:before="243" w:line="357" w:lineRule="auto"/>
        <w:ind w:right="131" w:firstLine="654"/>
        <w:jc w:val="both"/>
      </w:pPr>
      <w:r>
        <w:rPr>
          <w:rFonts w:ascii="黑体" w:hAnsi="黑体" w:eastAsia="黑体" w:cs="黑体"/>
          <w:b/>
          <w:bCs/>
          <w:spacing w:val="24"/>
        </w:rPr>
        <w:t>第二十三条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公共数据授权运营应当按照</w:t>
      </w:r>
      <w:r>
        <w:rPr>
          <w:spacing w:val="23"/>
        </w:rPr>
        <w:t>公共数据分类分</w:t>
      </w:r>
      <w:r>
        <w:t xml:space="preserve"> </w:t>
      </w:r>
      <w:r>
        <w:rPr>
          <w:spacing w:val="14"/>
        </w:rPr>
        <w:t>级要求，加强公共数据全生命周期安全和合法利用管</w:t>
      </w:r>
      <w:r>
        <w:rPr>
          <w:spacing w:val="13"/>
        </w:rPr>
        <w:t>理，确保数</w:t>
      </w:r>
    </w:p>
    <w:p>
      <w:pPr>
        <w:pStyle w:val="2"/>
        <w:spacing w:before="2" w:line="220" w:lineRule="auto"/>
      </w:pPr>
      <w:r>
        <w:rPr>
          <w:spacing w:val="10"/>
        </w:rPr>
        <w:t>据来源可溯、去向可查、行为留痕、责任可究。</w:t>
      </w:r>
    </w:p>
    <w:p>
      <w:pPr>
        <w:pStyle w:val="2"/>
        <w:spacing w:before="219" w:line="355" w:lineRule="auto"/>
        <w:ind w:right="128" w:firstLine="654"/>
        <w:jc w:val="both"/>
      </w:pPr>
      <w:r>
        <w:rPr>
          <w:rFonts w:ascii="黑体" w:hAnsi="黑体" w:eastAsia="黑体" w:cs="黑体"/>
          <w:b/>
          <w:bCs/>
          <w:spacing w:val="12"/>
        </w:rPr>
        <w:t>第二十四条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spacing w:val="12"/>
        </w:rPr>
        <w:t>公共数据授权运营安全实行谁运</w:t>
      </w:r>
      <w:r>
        <w:rPr>
          <w:spacing w:val="11"/>
        </w:rPr>
        <w:t>营谁负责、谁</w:t>
      </w:r>
      <w:r>
        <w:t xml:space="preserve"> </w:t>
      </w:r>
      <w:r>
        <w:rPr>
          <w:spacing w:val="14"/>
        </w:rPr>
        <w:t>使用谁负责的责任制，授权运营单位的主要负责人是授权运</w:t>
      </w:r>
      <w:r>
        <w:rPr>
          <w:spacing w:val="13"/>
        </w:rPr>
        <w:t>营公</w:t>
      </w:r>
    </w:p>
    <w:p>
      <w:pPr>
        <w:pStyle w:val="2"/>
        <w:spacing w:before="1" w:line="222" w:lineRule="auto"/>
      </w:pPr>
      <w:r>
        <w:rPr>
          <w:spacing w:val="9"/>
        </w:rPr>
        <w:t>共数据安全的第一责任人。</w:t>
      </w:r>
    </w:p>
    <w:p>
      <w:pPr>
        <w:pStyle w:val="2"/>
        <w:spacing w:before="225" w:line="221" w:lineRule="auto"/>
        <w:ind w:left="654"/>
      </w:pPr>
      <w:r>
        <w:rPr>
          <w:rFonts w:ascii="黑体" w:hAnsi="黑体" w:eastAsia="黑体" w:cs="黑体"/>
          <w:b/>
          <w:bCs/>
          <w:spacing w:val="24"/>
        </w:rPr>
        <w:t>第二十五条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市政数局应当审核授权运营单位加工形成的</w:t>
      </w:r>
    </w:p>
    <w:p>
      <w:pPr>
        <w:spacing w:line="221" w:lineRule="auto"/>
        <w:sectPr>
          <w:footerReference r:id="rId13" w:type="default"/>
          <w:pgSz w:w="11900" w:h="16820"/>
          <w:pgMar w:top="1429" w:right="1390" w:bottom="1720" w:left="1589" w:header="0" w:footer="1422" w:gutter="0"/>
          <w:pgNumType w:fmt="decimal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97" w:line="569" w:lineRule="exact"/>
      </w:pPr>
      <w:r>
        <w:rPr>
          <w:spacing w:val="14"/>
          <w:position w:val="19"/>
        </w:rPr>
        <w:t>公共数据产品。原始数据不得导出授权运营域；可通过可</w:t>
      </w:r>
      <w:r>
        <w:rPr>
          <w:spacing w:val="13"/>
          <w:position w:val="19"/>
        </w:rPr>
        <w:t>逆模型</w:t>
      </w:r>
    </w:p>
    <w:p>
      <w:pPr>
        <w:pStyle w:val="2"/>
        <w:spacing w:line="221" w:lineRule="auto"/>
      </w:pPr>
      <w:r>
        <w:rPr>
          <w:spacing w:val="11"/>
        </w:rPr>
        <w:t>或算法还原出原始数据的，不得导出授权运营域。</w:t>
      </w:r>
    </w:p>
    <w:p>
      <w:pPr>
        <w:pStyle w:val="2"/>
        <w:spacing w:before="230" w:line="351" w:lineRule="auto"/>
        <w:ind w:right="120" w:firstLine="639"/>
      </w:pPr>
      <w:r>
        <w:rPr>
          <w:spacing w:val="13"/>
        </w:rPr>
        <w:t>经市政数局审核批准后导出授权运营域的公共数据产品，不</w:t>
      </w:r>
      <w:r>
        <w:rPr>
          <w:spacing w:val="8"/>
        </w:rPr>
        <w:t xml:space="preserve"> </w:t>
      </w:r>
      <w:r>
        <w:rPr>
          <w:spacing w:val="14"/>
        </w:rPr>
        <w:t>得用于或变相用于未经审批的应用场景。公共数据产品</w:t>
      </w:r>
      <w:r>
        <w:rPr>
          <w:spacing w:val="13"/>
        </w:rPr>
        <w:t>应当按照</w:t>
      </w:r>
    </w:p>
    <w:p>
      <w:pPr>
        <w:pStyle w:val="2"/>
        <w:spacing w:line="222" w:lineRule="auto"/>
      </w:pPr>
      <w:r>
        <w:rPr>
          <w:spacing w:val="9"/>
        </w:rPr>
        <w:t>国家有关数据要素市场规则流通交易。</w:t>
      </w:r>
    </w:p>
    <w:p>
      <w:pPr>
        <w:pStyle w:val="2"/>
        <w:spacing w:before="234" w:line="351" w:lineRule="auto"/>
        <w:ind w:right="111" w:firstLine="644"/>
      </w:pPr>
      <w:r>
        <w:rPr>
          <w:rFonts w:ascii="黑体" w:hAnsi="黑体" w:eastAsia="黑体" w:cs="黑体"/>
          <w:b/>
          <w:bCs/>
          <w:spacing w:val="24"/>
        </w:rPr>
        <w:t>第二十六条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24"/>
        </w:rPr>
        <w:t>市政数局负责建立我市公共数据运营评估机</w:t>
      </w:r>
      <w:r>
        <w:rPr>
          <w:spacing w:val="13"/>
        </w:rPr>
        <w:t xml:space="preserve"> </w:t>
      </w:r>
      <w:r>
        <w:rPr>
          <w:spacing w:val="14"/>
        </w:rPr>
        <w:t>制，定期对公共数据授权运营情况进行评估。授权运营单</w:t>
      </w:r>
      <w:r>
        <w:rPr>
          <w:spacing w:val="13"/>
        </w:rPr>
        <w:t>位应当</w:t>
      </w:r>
    </w:p>
    <w:p>
      <w:pPr>
        <w:pStyle w:val="2"/>
        <w:spacing w:before="1" w:line="220" w:lineRule="auto"/>
        <w:jc w:val="right"/>
      </w:pPr>
      <w:r>
        <w:rPr>
          <w:spacing w:val="7"/>
        </w:rPr>
        <w:t>配合做好评估工作，如实提供有关资料，不得拒绝、隐匿、瞒报。</w:t>
      </w:r>
    </w:p>
    <w:p>
      <w:pPr>
        <w:pStyle w:val="2"/>
        <w:spacing w:before="224" w:line="357" w:lineRule="auto"/>
        <w:ind w:right="124" w:firstLine="639"/>
      </w:pPr>
      <w:r>
        <w:rPr>
          <w:spacing w:val="12"/>
        </w:rPr>
        <w:t>评估结果不符合授权运营要求的，市政数局应当责</w:t>
      </w:r>
      <w:r>
        <w:rPr>
          <w:spacing w:val="11"/>
        </w:rPr>
        <w:t>令改正，</w:t>
      </w:r>
      <w:r>
        <w:t xml:space="preserve"> </w:t>
      </w:r>
      <w:r>
        <w:rPr>
          <w:spacing w:val="13"/>
        </w:rPr>
        <w:t>并暂时停止其公共数据使用权限，授权运营单位应当在规定期限</w:t>
      </w:r>
      <w:r>
        <w:rPr>
          <w:spacing w:val="16"/>
        </w:rPr>
        <w:t xml:space="preserve"> </w:t>
      </w:r>
      <w:r>
        <w:rPr>
          <w:spacing w:val="14"/>
        </w:rPr>
        <w:t>内整改，并反馈整改情况；未按照要求整改的</w:t>
      </w:r>
      <w:r>
        <w:rPr>
          <w:spacing w:val="13"/>
        </w:rPr>
        <w:t>，依据授权运营协</w:t>
      </w:r>
    </w:p>
    <w:p>
      <w:pPr>
        <w:pStyle w:val="2"/>
        <w:spacing w:before="1" w:line="221" w:lineRule="auto"/>
      </w:pPr>
      <w:r>
        <w:rPr>
          <w:spacing w:val="10"/>
        </w:rPr>
        <w:t>议终止其相关公共数据的授权运营资格。</w:t>
      </w:r>
    </w:p>
    <w:p>
      <w:pPr>
        <w:pStyle w:val="2"/>
        <w:spacing w:before="226" w:line="358" w:lineRule="auto"/>
        <w:ind w:right="111" w:firstLine="644"/>
        <w:rPr>
          <w:spacing w:val="12"/>
        </w:rPr>
      </w:pPr>
      <w:r>
        <w:rPr>
          <w:rFonts w:ascii="黑体" w:hAnsi="黑体" w:eastAsia="黑体" w:cs="黑体"/>
          <w:b/>
          <w:bCs/>
          <w:spacing w:val="12"/>
        </w:rPr>
        <w:t>第二十七条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spacing w:val="12"/>
        </w:rPr>
        <w:t>授权运营单位在运营期限内，应当向市政数局</w:t>
      </w:r>
      <w:r>
        <w:rPr>
          <w:spacing w:val="13"/>
        </w:rPr>
        <w:t xml:space="preserve"> 提交公共数据授权运营年度运营报告，报告应当包括本单位数据</w:t>
      </w:r>
      <w:r>
        <w:rPr>
          <w:spacing w:val="15"/>
        </w:rPr>
        <w:t xml:space="preserve"> </w:t>
      </w:r>
      <w:r>
        <w:rPr>
          <w:spacing w:val="13"/>
        </w:rPr>
        <w:t>资源的</w:t>
      </w:r>
      <w:r>
        <w:rPr>
          <w:spacing w:val="12"/>
        </w:rPr>
        <w:t>授权存储、加工处理、分析挖掘、融合利用及市场运营情况等内容。</w:t>
      </w:r>
    </w:p>
    <w:p>
      <w:pPr>
        <w:pStyle w:val="2"/>
        <w:spacing w:before="214" w:line="352" w:lineRule="auto"/>
        <w:ind w:right="127" w:firstLine="644"/>
      </w:pPr>
      <w:r>
        <w:rPr>
          <w:rFonts w:ascii="黑体" w:hAnsi="黑体" w:eastAsia="黑体" w:cs="黑体"/>
          <w:b/>
          <w:bCs/>
          <w:spacing w:val="12"/>
        </w:rPr>
        <w:t>第二十八条</w:t>
      </w:r>
      <w:r>
        <w:rPr>
          <w:rFonts w:ascii="黑体" w:hAnsi="黑体" w:eastAsia="黑体" w:cs="黑体"/>
          <w:spacing w:val="12"/>
        </w:rPr>
        <w:t xml:space="preserve">  </w:t>
      </w:r>
      <w:r>
        <w:rPr>
          <w:spacing w:val="12"/>
        </w:rPr>
        <w:t>授权运营协议终止或撤销的，市政数局</w:t>
      </w:r>
      <w:r>
        <w:rPr>
          <w:spacing w:val="11"/>
        </w:rPr>
        <w:t>应当及</w:t>
      </w:r>
      <w:r>
        <w:t xml:space="preserve"> </w:t>
      </w:r>
      <w:r>
        <w:rPr>
          <w:spacing w:val="13"/>
        </w:rPr>
        <w:t>时撤销授权运营单位的授权运营域使用权限，及时删除授权运营</w:t>
      </w:r>
      <w:r>
        <w:rPr>
          <w:spacing w:val="5"/>
        </w:rPr>
        <w:t xml:space="preserve"> </w:t>
      </w:r>
      <w:r>
        <w:rPr>
          <w:spacing w:val="19"/>
        </w:rPr>
        <w:t>域内留存的相关数据，并按照规定留存相关网络日志不少</w:t>
      </w:r>
      <w:r>
        <w:rPr>
          <w:spacing w:val="18"/>
        </w:rPr>
        <w:t>于6个</w:t>
      </w:r>
    </w:p>
    <w:p>
      <w:pPr>
        <w:pStyle w:val="2"/>
        <w:spacing w:line="223" w:lineRule="auto"/>
      </w:pPr>
      <w:r>
        <w:rPr>
          <w:spacing w:val="-5"/>
        </w:rPr>
        <w:t>月。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98" w:line="222" w:lineRule="auto"/>
        <w:ind w:left="34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第五章</w:t>
      </w:r>
      <w:r>
        <w:rPr>
          <w:rFonts w:ascii="黑体" w:hAnsi="黑体" w:eastAsia="黑体" w:cs="黑体"/>
          <w:spacing w:val="2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附则</w:t>
      </w:r>
    </w:p>
    <w:p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14" w:type="default"/>
          <w:pgSz w:w="11900" w:h="16820"/>
          <w:pgMar w:top="1429" w:right="1400" w:bottom="1711" w:left="1589" w:header="0" w:footer="1412" w:gutter="0"/>
          <w:pgNumType w:fmt="decimal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91" w:line="603" w:lineRule="exact"/>
        <w:ind w:left="78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31"/>
          <w:position w:val="24"/>
          <w:sz w:val="28"/>
          <w:szCs w:val="28"/>
        </w:rPr>
        <w:t>第二十九条</w:t>
      </w:r>
      <w:r>
        <w:rPr>
          <w:rFonts w:ascii="黑体" w:hAnsi="黑体" w:eastAsia="黑体" w:cs="黑体"/>
          <w:spacing w:val="31"/>
          <w:position w:val="24"/>
          <w:sz w:val="28"/>
          <w:szCs w:val="28"/>
        </w:rPr>
        <w:t xml:space="preserve">  </w:t>
      </w:r>
      <w:r>
        <w:rPr>
          <w:spacing w:val="31"/>
          <w:position w:val="24"/>
          <w:sz w:val="28"/>
          <w:szCs w:val="28"/>
        </w:rPr>
        <w:t>法律、法规、规章和国家政策对公共数据授权</w:t>
      </w:r>
    </w:p>
    <w:p>
      <w:pPr>
        <w:pStyle w:val="2"/>
        <w:spacing w:line="222" w:lineRule="auto"/>
        <w:ind w:left="139"/>
        <w:rPr>
          <w:sz w:val="28"/>
          <w:szCs w:val="28"/>
        </w:rPr>
      </w:pPr>
      <w:r>
        <w:rPr>
          <w:spacing w:val="29"/>
          <w:sz w:val="28"/>
          <w:szCs w:val="28"/>
        </w:rPr>
        <w:t>运营另有规定的，从其规定。</w:t>
      </w:r>
    </w:p>
    <w:p>
      <w:pPr>
        <w:pStyle w:val="2"/>
        <w:spacing w:before="239" w:line="220" w:lineRule="auto"/>
        <w:ind w:left="79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27"/>
          <w:sz w:val="28"/>
          <w:szCs w:val="28"/>
        </w:rPr>
        <w:t>第三十条</w:t>
      </w:r>
      <w:r>
        <w:rPr>
          <w:rFonts w:ascii="黑体" w:hAnsi="黑体" w:eastAsia="黑体" w:cs="黑体"/>
          <w:spacing w:val="27"/>
          <w:sz w:val="28"/>
          <w:szCs w:val="28"/>
        </w:rPr>
        <w:t xml:space="preserve">  </w:t>
      </w:r>
      <w:r>
        <w:rPr>
          <w:spacing w:val="27"/>
          <w:sz w:val="28"/>
          <w:szCs w:val="28"/>
        </w:rPr>
        <w:t>本办法自发布之日起施行。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rPr>
          <w:rFonts w:ascii="Arial"/>
          <w:sz w:val="21"/>
        </w:rPr>
      </w:pPr>
    </w:p>
    <w:sectPr>
      <w:footerReference r:id="rId15" w:type="default"/>
      <w:pgSz w:w="11900" w:h="16820"/>
      <w:pgMar w:top="1429" w:right="1430" w:bottom="1707" w:left="1450" w:header="0" w:footer="142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50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4"/>
        <w:sz w:val="30"/>
        <w:szCs w:val="30"/>
      </w:rPr>
      <w:t>—</w:t>
    </w:r>
    <w:r>
      <w:rPr>
        <w:rFonts w:hint="eastAsia" w:ascii="宋体" w:hAnsi="宋体" w:eastAsia="宋体" w:cs="宋体"/>
        <w:spacing w:val="-4"/>
        <w:sz w:val="30"/>
        <w:szCs w:val="30"/>
        <w:lang w:val="en-US" w:eastAsia="zh-CN"/>
      </w:rPr>
      <w:t>1</w:t>
    </w:r>
    <w:r>
      <w:rPr>
        <w:rFonts w:ascii="宋体" w:hAnsi="宋体" w:eastAsia="宋体" w:cs="宋体"/>
        <w:spacing w:val="12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3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</w:t>
    </w:r>
    <w:r>
      <w:rPr>
        <w:rFonts w:ascii="宋体" w:hAnsi="宋体" w:eastAsia="宋体" w:cs="宋体"/>
        <w:spacing w:val="91"/>
        <w:sz w:val="30"/>
        <w:szCs w:val="30"/>
      </w:rPr>
      <w:t xml:space="preserve"> </w:t>
    </w:r>
    <w:r>
      <w:rPr>
        <w:rFonts w:ascii="宋体" w:hAnsi="宋体" w:eastAsia="宋体" w:cs="宋体"/>
        <w:spacing w:val="-3"/>
        <w:sz w:val="30"/>
        <w:szCs w:val="30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—11</w:t>
    </w:r>
    <w:r>
      <w:rPr>
        <w:rFonts w:ascii="宋体" w:hAnsi="宋体" w:eastAsia="宋体" w:cs="宋体"/>
        <w:spacing w:val="100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50"/>
      <w:jc w:val="lef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</w:t>
    </w:r>
    <w:r>
      <w:rPr>
        <w:rFonts w:hint="eastAsia" w:ascii="宋体" w:hAnsi="宋体" w:eastAsia="宋体" w:cs="宋体"/>
        <w:spacing w:val="-4"/>
        <w:sz w:val="30"/>
        <w:szCs w:val="30"/>
        <w:lang w:val="en-US" w:eastAsia="zh-CN"/>
      </w:rPr>
      <w:t>2</w:t>
    </w:r>
    <w:r>
      <w:rPr>
        <w:rFonts w:ascii="宋体" w:hAnsi="宋体" w:eastAsia="宋体" w:cs="宋体"/>
        <w:spacing w:val="12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</w:t>
    </w:r>
    <w:r>
      <w:rPr>
        <w:rFonts w:ascii="宋体" w:hAnsi="宋体" w:eastAsia="宋体" w:cs="宋体"/>
        <w:spacing w:val="12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1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</w:t>
    </w:r>
    <w:r>
      <w:rPr>
        <w:rFonts w:ascii="宋体" w:hAnsi="宋体" w:eastAsia="宋体" w:cs="宋体"/>
        <w:spacing w:val="14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</w:t>
    </w:r>
    <w:r>
      <w:rPr>
        <w:rFonts w:ascii="宋体" w:hAnsi="宋体" w:eastAsia="宋体" w:cs="宋体"/>
        <w:spacing w:val="141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3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</w:t>
    </w:r>
    <w:r>
      <w:rPr>
        <w:rFonts w:ascii="宋体" w:hAnsi="宋体" w:eastAsia="宋体" w:cs="宋体"/>
        <w:spacing w:val="11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2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6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</w:t>
    </w:r>
    <w:r>
      <w:rPr>
        <w:rFonts w:ascii="宋体" w:hAnsi="宋体" w:eastAsia="宋体" w:cs="宋体"/>
        <w:spacing w:val="14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zMzYwMjYzODIyNTQyODA2NmIyNjBjMjVmMjdlZWIifQ=="/>
  </w:docVars>
  <w:rsids>
    <w:rsidRoot w:val="00000000"/>
    <w:rsid w:val="2FCC646F"/>
    <w:rsid w:val="33874918"/>
    <w:rsid w:val="52DF31FA"/>
    <w:rsid w:val="6805480F"/>
    <w:rsid w:val="71A84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 w:cs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4410</Words>
  <Characters>4434</Characters>
  <TotalTime>4</TotalTime>
  <ScaleCrop>false</ScaleCrop>
  <LinksUpToDate>false</LinksUpToDate>
  <CharactersWithSpaces>4566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2024-01-17T15:41:00Z</dcterms:created>
  <dc:creator>Kingsoft-PDF</dc:creator>
  <cp:lastModifiedBy>Administrator</cp:lastModifiedBy>
  <dcterms:modified xsi:type="dcterms:W3CDTF">2024-06-21T02:27:02Z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2024-01-17T15:41:02Z</vt:filetime>
  </property>
  <property fmtid="{D5CDD505-2E9C-101B-9397-08002B2CF9AE}" pid="4" name="UsrData">
    <vt:lpwstr>65a7848972a3fa001f350d4awl</vt:lpwstr>
  </property>
  <property fmtid="{D5CDD505-2E9C-101B-9397-08002B2CF9AE}" pid="5" name="KSOProductBuildVer">
    <vt:lpwstr>2052-12.1.0.16929</vt:lpwstr>
  </property>
  <property fmtid="{D5CDD505-2E9C-101B-9397-08002B2CF9AE}" pid="6" name="ICV">
    <vt:lpwstr>607DD4E402684F3591F46194AC4F9A4A_13</vt:lpwstr>
  </property>
</Properties>
</file>