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Arial"/>
          <w:bCs/>
          <w:sz w:val="32"/>
          <w:szCs w:val="32"/>
          <w:lang w:eastAsia="zh-CN"/>
        </w:rPr>
      </w:pPr>
    </w:p>
    <w:p>
      <w:pPr>
        <w:jc w:val="center"/>
        <w:rPr>
          <w:rFonts w:hint="eastAsia" w:ascii="宋体" w:hAnsi="宋体" w:eastAsia="宋体" w:cs="Arial"/>
          <w:bCs/>
          <w:sz w:val="32"/>
          <w:szCs w:val="32"/>
          <w:lang w:eastAsia="zh-CN"/>
        </w:rPr>
      </w:pPr>
    </w:p>
    <w:p>
      <w:pPr>
        <w:jc w:val="center"/>
        <w:rPr>
          <w:rFonts w:hint="eastAsia" w:ascii="宋体" w:hAnsi="宋体" w:eastAsia="宋体" w:cs="Arial"/>
          <w:bCs/>
          <w:sz w:val="44"/>
          <w:szCs w:val="44"/>
        </w:rPr>
      </w:pPr>
      <w:r>
        <w:rPr>
          <w:rFonts w:hint="eastAsia" w:ascii="宋体" w:hAnsi="宋体" w:eastAsia="宋体" w:cs="Arial"/>
          <w:bCs/>
          <w:sz w:val="44"/>
          <w:szCs w:val="44"/>
          <w:lang w:eastAsia="zh-CN"/>
        </w:rPr>
        <w:t>吉林</w:t>
      </w:r>
      <w:r>
        <w:rPr>
          <w:rFonts w:ascii="宋体" w:hAnsi="宋体" w:eastAsia="宋体" w:cs="Arial"/>
          <w:bCs/>
          <w:sz w:val="44"/>
          <w:szCs w:val="44"/>
        </w:rPr>
        <w:t>省</w:t>
      </w:r>
      <w:r>
        <w:rPr>
          <w:rFonts w:hint="eastAsia" w:ascii="宋体" w:hAnsi="宋体" w:eastAsia="宋体" w:cs="Arial"/>
          <w:bCs/>
          <w:sz w:val="44"/>
          <w:szCs w:val="44"/>
          <w:lang w:eastAsia="zh-CN"/>
        </w:rPr>
        <w:t>药品管理</w:t>
      </w:r>
      <w:r>
        <w:rPr>
          <w:rFonts w:ascii="宋体" w:hAnsi="宋体" w:eastAsia="宋体" w:cs="Arial"/>
          <w:bCs/>
          <w:sz w:val="44"/>
          <w:szCs w:val="44"/>
        </w:rPr>
        <w:t>条例</w:t>
      </w:r>
    </w:p>
    <w:p>
      <w:pPr>
        <w:pStyle w:val="13"/>
        <w:widowControl w:val="0"/>
        <w:adjustRightInd/>
        <w:snapToGrid/>
        <w:spacing w:after="0" w:afterLines="0" w:line="660" w:lineRule="exact"/>
        <w:jc w:val="center"/>
        <w:rPr>
          <w:rFonts w:hint="eastAsia" w:asciiTheme="majorEastAsia" w:hAnsiTheme="majorEastAsia" w:eastAsiaTheme="majorEastAsia" w:cstheme="majorEastAsia"/>
          <w:kern w:val="2"/>
          <w:sz w:val="32"/>
          <w:szCs w:val="32"/>
          <w:lang w:bidi="ar-SA"/>
        </w:rPr>
      </w:pPr>
    </w:p>
    <w:p>
      <w:pPr>
        <w:ind w:left="580" w:leftChars="200" w:right="353" w:rightChars="168" w:hanging="160" w:hangingChars="50"/>
        <w:rPr>
          <w:rFonts w:hint="eastAsia" w:ascii="楷体_GB2312" w:hAnsi="楷体" w:eastAsia="楷体_GB2312" w:cs="华文中宋"/>
          <w:kern w:val="2"/>
          <w:sz w:val="32"/>
          <w:szCs w:val="32"/>
          <w:lang w:val="en-US" w:eastAsia="zh-CN" w:bidi="ar-SA"/>
        </w:rPr>
      </w:pPr>
      <w:r>
        <w:rPr>
          <w:rFonts w:hint="eastAsia" w:ascii="楷体_GB2312" w:hAnsi="楷体" w:eastAsia="楷体_GB2312" w:cs="华文中宋"/>
          <w:kern w:val="2"/>
          <w:sz w:val="32"/>
          <w:szCs w:val="32"/>
          <w:lang w:val="en-US" w:eastAsia="zh-CN" w:bidi="ar-SA"/>
        </w:rPr>
        <w:t>（2022年5月7日吉林省第十三届人民代表大会常务委员会第三十四次会议通过  根据2024年9月30日吉林省第十四届人民代表大会常务委员会第十三次会议《吉林省人民代表大会常务委员会关于修改和废止〈吉林省道路运输条例〉等11部地方性法规的决定》修改）</w:t>
      </w:r>
    </w:p>
    <w:p>
      <w:pPr>
        <w:pStyle w:val="14"/>
        <w:ind w:left="0" w:leftChars="0" w:firstLine="640" w:firstLineChars="200"/>
        <w:jc w:val="both"/>
        <w:rPr>
          <w:rFonts w:hint="eastAsia" w:ascii="楷体_GB2312" w:hAnsi="Times New Roman" w:eastAsia="楷体_GB2312" w:cs="Times New Roman"/>
          <w:kern w:val="2"/>
          <w:sz w:val="32"/>
          <w:szCs w:val="32"/>
          <w:lang w:val="en-US" w:eastAsia="zh-CN" w:bidi="ar-SA"/>
        </w:rPr>
      </w:pPr>
    </w:p>
    <w:p>
      <w:pPr>
        <w:jc w:val="center"/>
        <w:rPr>
          <w:rFonts w:hint="eastAsia" w:ascii="楷体_GB2312" w:hAnsi="Arial" w:eastAsia="楷体_GB2312" w:cs="Arial"/>
          <w:sz w:val="32"/>
          <w:szCs w:val="32"/>
          <w:lang w:bidi="ar-SA"/>
        </w:rPr>
      </w:pPr>
      <w:r>
        <w:rPr>
          <w:rFonts w:hint="eastAsia" w:ascii="楷体_GB2312" w:hAnsi="Arial" w:eastAsia="楷体_GB2312" w:cs="Arial"/>
          <w:sz w:val="32"/>
          <w:szCs w:val="32"/>
          <w:lang w:bidi="ar-SA"/>
        </w:rPr>
        <w:t>目  录</w:t>
      </w:r>
    </w:p>
    <w:p>
      <w:pPr>
        <w:ind w:left="630" w:leftChars="300" w:firstLine="9" w:firstLineChars="3"/>
        <w:rPr>
          <w:rFonts w:hint="eastAsia" w:ascii="楷体_GB2312" w:hAnsi="Arial" w:eastAsia="楷体_GB2312" w:cs="Arial"/>
          <w:sz w:val="32"/>
          <w:szCs w:val="32"/>
        </w:rPr>
      </w:pPr>
      <w:r>
        <w:rPr>
          <w:rFonts w:hint="eastAsia" w:ascii="楷体_GB2312" w:hAnsi="Arial" w:eastAsia="楷体_GB2312" w:cs="Arial"/>
          <w:sz w:val="32"/>
          <w:szCs w:val="32"/>
        </w:rPr>
        <w:fldChar w:fldCharType="begin"/>
      </w:r>
      <w:r>
        <w:rPr>
          <w:rFonts w:hint="eastAsia" w:ascii="楷体_GB2312" w:hAnsi="Arial" w:eastAsia="楷体_GB2312" w:cs="Arial"/>
          <w:sz w:val="32"/>
          <w:szCs w:val="32"/>
        </w:rPr>
        <w:instrText xml:space="preserve"> HYPERLINK "http://law.npc.gov.cn:87/page/secondbrw.cbs?rid=54&amp;order=643&amp;result=c%3A%5Ctemp%5Ctbs%5CH1176DE%2Etmp&amp;page=allindex&amp;f=&amp;field=&amp;transword=++%CC%F5%C0%FD&amp;dkall=1&amp;OpenCondition=FULLTEXT%3D%27%28%23%CA%B1%D0%A7%D0%D4%3D%2A%29+AND+%28%CC%F5%C0%FD%2FFLD%3D%B1%EA%CC%E2%29%27" \l "1#1" </w:instrText>
      </w:r>
      <w:r>
        <w:rPr>
          <w:rFonts w:hint="eastAsia" w:ascii="楷体_GB2312" w:hAnsi="Arial" w:eastAsia="楷体_GB2312" w:cs="Arial"/>
          <w:sz w:val="32"/>
          <w:szCs w:val="32"/>
        </w:rPr>
        <w:fldChar w:fldCharType="separate"/>
      </w:r>
      <w:r>
        <w:rPr>
          <w:rStyle w:val="10"/>
          <w:rFonts w:hint="eastAsia" w:ascii="楷体_GB2312" w:eastAsia="楷体_GB2312" w:cs="Arial"/>
          <w:color w:val="auto"/>
          <w:sz w:val="32"/>
          <w:szCs w:val="32"/>
        </w:rPr>
        <w:t>第一章　总</w:t>
      </w:r>
      <w:r>
        <w:rPr>
          <w:rStyle w:val="10"/>
          <w:rFonts w:hint="eastAsia" w:ascii="楷体_GB2312" w:eastAsia="楷体_GB2312" w:cs="Arial"/>
          <w:color w:val="auto"/>
          <w:sz w:val="32"/>
          <w:szCs w:val="32"/>
          <w:lang w:val="en-US" w:eastAsia="zh-CN"/>
        </w:rPr>
        <w:t xml:space="preserve">    </w:t>
      </w:r>
      <w:r>
        <w:rPr>
          <w:rStyle w:val="10"/>
          <w:rFonts w:hint="eastAsia" w:ascii="楷体_GB2312" w:eastAsia="楷体_GB2312" w:cs="Arial"/>
          <w:color w:val="auto"/>
          <w:sz w:val="32"/>
          <w:szCs w:val="32"/>
        </w:rPr>
        <w:t>则</w:t>
      </w:r>
      <w:r>
        <w:rPr>
          <w:rFonts w:hint="eastAsia" w:ascii="楷体_GB2312" w:hAnsi="Arial" w:eastAsia="楷体_GB2312" w:cs="Arial"/>
          <w:sz w:val="32"/>
          <w:szCs w:val="32"/>
        </w:rPr>
        <w:fldChar w:fldCharType="end"/>
      </w:r>
    </w:p>
    <w:p>
      <w:pPr>
        <w:ind w:left="630" w:leftChars="300" w:firstLine="9" w:firstLineChars="3"/>
        <w:rPr>
          <w:rFonts w:hint="eastAsia" w:ascii="楷体_GB2312" w:hAnsi="Arial" w:eastAsia="楷体_GB2312" w:cs="Arial"/>
          <w:sz w:val="32"/>
          <w:szCs w:val="32"/>
          <w:lang w:val="en-US" w:eastAsia="zh-CN"/>
        </w:rPr>
      </w:pPr>
      <w:r>
        <w:rPr>
          <w:rFonts w:hint="eastAsia" w:ascii="楷体_GB2312" w:hAnsi="Arial" w:eastAsia="楷体_GB2312" w:cs="Arial"/>
          <w:sz w:val="32"/>
          <w:szCs w:val="32"/>
          <w:lang w:eastAsia="zh-CN"/>
        </w:rPr>
        <w:t>第二章</w:t>
      </w:r>
      <w:r>
        <w:rPr>
          <w:rFonts w:hint="eastAsia" w:ascii="楷体_GB2312" w:hAnsi="Arial" w:eastAsia="楷体_GB2312" w:cs="Arial"/>
          <w:sz w:val="32"/>
          <w:szCs w:val="32"/>
          <w:lang w:val="en-US" w:eastAsia="zh-CN"/>
        </w:rPr>
        <w:t xml:space="preserve">  药品生产和经营</w:t>
      </w:r>
    </w:p>
    <w:p>
      <w:pPr>
        <w:ind w:left="630" w:leftChars="300" w:firstLine="9" w:firstLineChars="3"/>
        <w:rPr>
          <w:rFonts w:hint="eastAsia" w:ascii="楷体_GB2312" w:hAnsi="Arial" w:eastAsia="楷体_GB2312" w:cs="Arial"/>
          <w:sz w:val="32"/>
          <w:szCs w:val="32"/>
          <w:lang w:val="en-US" w:eastAsia="zh-CN"/>
        </w:rPr>
      </w:pPr>
      <w:r>
        <w:rPr>
          <w:rFonts w:hint="eastAsia" w:ascii="楷体_GB2312" w:hAnsi="Arial" w:eastAsia="楷体_GB2312" w:cs="Arial"/>
          <w:sz w:val="32"/>
          <w:szCs w:val="32"/>
          <w:lang w:val="en-US" w:eastAsia="zh-CN"/>
        </w:rPr>
        <w:t>第三章  医疗机构药事管理</w:t>
      </w:r>
    </w:p>
    <w:p>
      <w:pPr>
        <w:ind w:left="630" w:leftChars="300" w:firstLine="9" w:firstLineChars="3"/>
        <w:rPr>
          <w:rFonts w:hint="eastAsia" w:ascii="楷体_GB2312" w:hAnsi="Arial" w:eastAsia="楷体_GB2312" w:cs="Arial"/>
          <w:sz w:val="32"/>
          <w:szCs w:val="32"/>
          <w:lang w:val="en-US" w:eastAsia="zh-CN"/>
        </w:rPr>
      </w:pPr>
      <w:r>
        <w:rPr>
          <w:rFonts w:hint="eastAsia" w:ascii="楷体_GB2312" w:hAnsi="Arial" w:eastAsia="楷体_GB2312" w:cs="Arial"/>
          <w:sz w:val="32"/>
          <w:szCs w:val="32"/>
          <w:lang w:eastAsia="zh-CN"/>
        </w:rPr>
        <w:t>第四章</w:t>
      </w:r>
      <w:r>
        <w:rPr>
          <w:rFonts w:hint="eastAsia" w:ascii="楷体_GB2312" w:hAnsi="Arial" w:eastAsia="楷体_GB2312" w:cs="Arial"/>
          <w:sz w:val="32"/>
          <w:szCs w:val="32"/>
          <w:lang w:val="en-US" w:eastAsia="zh-CN"/>
        </w:rPr>
        <w:t xml:space="preserve">  药品广告和价格</w:t>
      </w:r>
    </w:p>
    <w:p>
      <w:pPr>
        <w:ind w:left="630" w:leftChars="300" w:firstLine="9" w:firstLineChars="3"/>
        <w:rPr>
          <w:rFonts w:hint="eastAsia" w:ascii="楷体_GB2312" w:hAnsi="Arial" w:eastAsia="楷体_GB2312" w:cs="Arial"/>
          <w:sz w:val="32"/>
          <w:szCs w:val="32"/>
          <w:lang w:val="en-US" w:eastAsia="zh-CN"/>
        </w:rPr>
      </w:pPr>
      <w:r>
        <w:rPr>
          <w:rFonts w:hint="eastAsia" w:ascii="楷体_GB2312" w:hAnsi="Arial" w:eastAsia="楷体_GB2312" w:cs="Arial"/>
          <w:sz w:val="32"/>
          <w:szCs w:val="32"/>
          <w:lang w:eastAsia="zh-CN"/>
        </w:rPr>
        <w:t>第五章</w:t>
      </w:r>
      <w:r>
        <w:rPr>
          <w:rFonts w:hint="eastAsia" w:ascii="楷体_GB2312" w:hAnsi="Arial" w:eastAsia="楷体_GB2312" w:cs="Arial"/>
          <w:sz w:val="32"/>
          <w:szCs w:val="32"/>
          <w:lang w:val="en-US" w:eastAsia="zh-CN"/>
        </w:rPr>
        <w:t xml:space="preserve">  药品监督和检查</w:t>
      </w:r>
    </w:p>
    <w:p>
      <w:pPr>
        <w:ind w:left="630" w:leftChars="300" w:firstLine="9" w:firstLineChars="3"/>
        <w:rPr>
          <w:rFonts w:hint="eastAsia" w:ascii="楷体_GB2312" w:hAnsi="Arial" w:eastAsia="楷体_GB2312" w:cs="Arial"/>
          <w:sz w:val="32"/>
          <w:szCs w:val="32"/>
          <w:lang w:val="en-US" w:eastAsia="zh-CN"/>
        </w:rPr>
      </w:pPr>
      <w:r>
        <w:rPr>
          <w:rFonts w:hint="eastAsia" w:ascii="楷体_GB2312" w:hAnsi="Arial" w:eastAsia="楷体_GB2312" w:cs="Arial"/>
          <w:sz w:val="32"/>
          <w:szCs w:val="32"/>
          <w:lang w:eastAsia="zh-CN"/>
        </w:rPr>
        <w:t>第六章</w:t>
      </w:r>
      <w:r>
        <w:rPr>
          <w:rFonts w:hint="eastAsia" w:ascii="楷体_GB2312" w:hAnsi="Arial" w:eastAsia="楷体_GB2312" w:cs="Arial"/>
          <w:sz w:val="32"/>
          <w:szCs w:val="32"/>
          <w:lang w:val="en-US" w:eastAsia="zh-CN"/>
        </w:rPr>
        <w:t xml:space="preserve">  法律责任</w:t>
      </w:r>
    </w:p>
    <w:p>
      <w:pPr>
        <w:pStyle w:val="2"/>
        <w:ind w:left="0" w:leftChars="0" w:firstLine="640" w:firstLineChars="0"/>
        <w:rPr>
          <w:rFonts w:hint="eastAsia" w:ascii="楷体_GB2312" w:hAnsi="Arial" w:eastAsia="楷体_GB2312" w:cs="Arial"/>
          <w:sz w:val="32"/>
          <w:szCs w:val="32"/>
          <w:lang w:val="en-US" w:eastAsia="zh-CN"/>
        </w:rPr>
      </w:pPr>
      <w:r>
        <w:rPr>
          <w:rFonts w:hint="eastAsia" w:ascii="楷体_GB2312" w:hAnsi="Arial" w:eastAsia="楷体_GB2312" w:cs="Arial"/>
          <w:sz w:val="32"/>
          <w:szCs w:val="32"/>
          <w:lang w:val="en-US" w:eastAsia="zh-CN"/>
        </w:rPr>
        <w:t xml:space="preserve">第七章  附    </w:t>
      </w:r>
      <w:bookmarkStart w:id="0" w:name="_GoBack"/>
      <w:bookmarkEnd w:id="0"/>
      <w:r>
        <w:rPr>
          <w:rFonts w:hint="eastAsia" w:ascii="楷体_GB2312" w:hAnsi="Arial" w:eastAsia="楷体_GB2312" w:cs="Arial"/>
          <w:sz w:val="32"/>
          <w:szCs w:val="32"/>
          <w:lang w:val="en-US" w:eastAsia="zh-CN"/>
        </w:rPr>
        <w:t>则</w:t>
      </w:r>
    </w:p>
    <w:p>
      <w:pPr>
        <w:pStyle w:val="14"/>
        <w:ind w:left="0" w:leftChars="0" w:firstLine="640" w:firstLineChars="200"/>
        <w:jc w:val="both"/>
        <w:rPr>
          <w:rFonts w:hint="eastAsia" w:ascii="楷体_GB2312" w:hAnsi="Times New Roman" w:eastAsia="楷体_GB2312" w:cs="Times New Roman"/>
          <w:kern w:val="2"/>
          <w:sz w:val="32"/>
          <w:szCs w:val="32"/>
          <w:lang w:val="en-US" w:eastAsia="zh-CN" w:bidi="ar-SA"/>
        </w:rPr>
      </w:pPr>
    </w:p>
    <w:p>
      <w:pPr>
        <w:widowControl/>
        <w:numPr>
          <w:ilvl w:val="0"/>
          <w:numId w:val="0"/>
        </w:numPr>
        <w:spacing w:line="300" w:lineRule="atLeast"/>
        <w:ind w:leftChars="0"/>
        <w:jc w:val="center"/>
        <w:rPr>
          <w:rFonts w:hint="eastAsia" w:ascii="黑体" w:hAnsi="Arial" w:eastAsia="黑体" w:cs="Arial"/>
          <w:bCs/>
          <w:kern w:val="0"/>
          <w:sz w:val="32"/>
          <w:szCs w:val="32"/>
          <w:lang w:eastAsia="zh-CN" w:bidi="ar-SA"/>
        </w:rPr>
      </w:pPr>
      <w:r>
        <w:rPr>
          <w:rFonts w:hint="eastAsia" w:ascii="黑体" w:hAnsi="Arial" w:eastAsia="黑体" w:cs="Arial"/>
          <w:bCs/>
          <w:kern w:val="0"/>
          <w:sz w:val="32"/>
          <w:szCs w:val="32"/>
          <w:lang w:eastAsia="zh-CN" w:bidi="ar-SA"/>
        </w:rPr>
        <w:t>第一章  总</w:t>
      </w:r>
      <w:r>
        <w:rPr>
          <w:rFonts w:hint="eastAsia" w:ascii="黑体" w:hAnsi="Arial" w:eastAsia="黑体" w:cs="Arial"/>
          <w:bCs/>
          <w:kern w:val="0"/>
          <w:sz w:val="32"/>
          <w:szCs w:val="32"/>
          <w:lang w:val="en-US" w:eastAsia="zh-CN" w:bidi="ar-SA"/>
        </w:rPr>
        <w:t xml:space="preserve"> </w:t>
      </w:r>
      <w:r>
        <w:rPr>
          <w:rFonts w:hint="eastAsia" w:ascii="黑体" w:hAnsi="Arial" w:eastAsia="黑体" w:cs="Arial"/>
          <w:bCs/>
          <w:kern w:val="0"/>
          <w:sz w:val="32"/>
          <w:szCs w:val="32"/>
          <w:lang w:eastAsia="zh-CN" w:bidi="ar-SA"/>
        </w:rPr>
        <w:t>则</w:t>
      </w:r>
    </w:p>
    <w:p>
      <w:pPr>
        <w:pStyle w:val="2"/>
        <w:rPr>
          <w:rFonts w:hint="eastAsia"/>
        </w:rPr>
      </w:pPr>
    </w:p>
    <w:p>
      <w:pPr>
        <w:spacing w:line="570" w:lineRule="exact"/>
        <w:ind w:firstLine="640" w:firstLineChars="200"/>
        <w:rPr>
          <w:rFonts w:hint="eastAsia" w:ascii="仿宋_GB2312" w:hAnsi="仿宋_GB2312" w:eastAsia="仿宋" w:cs="仿宋_GB2312"/>
          <w:color w:val="auto"/>
          <w:sz w:val="32"/>
          <w:szCs w:val="36"/>
          <w:highlight w:val="none"/>
          <w:u w:val="none"/>
        </w:rPr>
      </w:pPr>
      <w:r>
        <w:rPr>
          <w:rFonts w:hint="eastAsia" w:ascii="黑体" w:hAnsi="仿宋_GB2312" w:eastAsia="黑体" w:cs="仿宋_GB2312"/>
          <w:color w:val="auto"/>
          <w:sz w:val="32"/>
          <w:szCs w:val="36"/>
          <w:highlight w:val="none"/>
          <w:u w:val="none"/>
        </w:rPr>
        <w:t>第一条</w:t>
      </w:r>
      <w:r>
        <w:rPr>
          <w:rFonts w:hint="eastAsia" w:ascii="黑体" w:hAnsi="仿宋_GB2312" w:eastAsia="黑体" w:cs="仿宋_GB2312"/>
          <w:color w:val="auto"/>
          <w:sz w:val="32"/>
          <w:szCs w:val="36"/>
          <w:highlight w:val="none"/>
          <w:u w:val="none"/>
          <w:lang w:val="en-US" w:eastAsia="zh-CN"/>
        </w:rPr>
        <w:t xml:space="preserve">  </w:t>
      </w:r>
      <w:r>
        <w:rPr>
          <w:rFonts w:hint="eastAsia" w:ascii="仿宋" w:hAnsi="仿宋" w:eastAsia="仿宋_GB2312" w:cs="仿宋_GB2312"/>
          <w:b w:val="0"/>
          <w:bCs/>
          <w:i w:val="0"/>
          <w:color w:val="auto"/>
          <w:kern w:val="0"/>
          <w:sz w:val="32"/>
          <w:szCs w:val="24"/>
          <w:lang w:eastAsia="zh-CN"/>
        </w:rPr>
        <w:t>为了加强药品管理，保证药品质量，保障公众用药安全和合法权益，保护和促进公众健康，根据《中华人民共和国药品管理法》《中华人民共和国中医药法》《中华人民共和国药品管理法实施条例》等法律、行政法规，结合本省实际，制定本条例。</w:t>
      </w:r>
    </w:p>
    <w:p>
      <w:pPr>
        <w:spacing w:line="570" w:lineRule="exact"/>
        <w:ind w:firstLine="640" w:firstLineChars="200"/>
        <w:rPr>
          <w:rFonts w:hint="eastAsia" w:ascii="仿宋_GB2312" w:hAnsi="仿宋_GB2312" w:eastAsia="仿宋" w:cs="仿宋_GB2312"/>
          <w:color w:val="auto"/>
          <w:sz w:val="32"/>
          <w:szCs w:val="36"/>
          <w:highlight w:val="none"/>
          <w:u w:val="none"/>
        </w:rPr>
      </w:pPr>
      <w:r>
        <w:rPr>
          <w:rFonts w:hint="eastAsia" w:ascii="黑体" w:hAnsi="仿宋_GB2312" w:eastAsia="黑体" w:cs="仿宋_GB2312"/>
          <w:color w:val="auto"/>
          <w:sz w:val="32"/>
          <w:szCs w:val="36"/>
          <w:highlight w:val="none"/>
          <w:u w:val="none"/>
        </w:rPr>
        <w:t xml:space="preserve">第二条 </w:t>
      </w:r>
      <w:r>
        <w:rPr>
          <w:rFonts w:hint="eastAsia" w:ascii="黑体" w:hAnsi="仿宋_GB2312" w:eastAsia="黑体" w:cs="仿宋_GB2312"/>
          <w:color w:val="auto"/>
          <w:sz w:val="32"/>
          <w:szCs w:val="36"/>
          <w:highlight w:val="none"/>
          <w:u w:val="none"/>
          <w:lang w:val="en-US" w:eastAsia="zh-CN"/>
        </w:rPr>
        <w:t xml:space="preserve"> </w:t>
      </w:r>
      <w:r>
        <w:rPr>
          <w:rFonts w:hint="eastAsia" w:ascii="仿宋" w:hAnsi="仿宋" w:eastAsia="仿宋_GB2312" w:cs="仿宋_GB2312"/>
          <w:b w:val="0"/>
          <w:bCs/>
          <w:i w:val="0"/>
          <w:color w:val="auto"/>
          <w:kern w:val="0"/>
          <w:sz w:val="32"/>
          <w:szCs w:val="24"/>
          <w:lang w:eastAsia="zh-CN"/>
        </w:rPr>
        <w:t>在本省行政区域内从事药品研制、生产、经营、使用和监督管理活动，适用本条例。</w:t>
      </w:r>
    </w:p>
    <w:p>
      <w:pPr>
        <w:spacing w:line="570" w:lineRule="exact"/>
        <w:ind w:firstLine="640" w:firstLineChars="200"/>
        <w:rPr>
          <w:rFonts w:hint="eastAsia" w:ascii="仿宋_GB2312" w:hAnsi="仿宋_GB2312" w:eastAsia="仿宋" w:cs="仿宋_GB2312"/>
          <w:color w:val="auto"/>
          <w:sz w:val="32"/>
          <w:szCs w:val="36"/>
          <w:highlight w:val="none"/>
          <w:u w:val="none"/>
          <w:lang w:eastAsia="zh-CN"/>
        </w:rPr>
      </w:pPr>
      <w:r>
        <w:rPr>
          <w:rFonts w:hint="eastAsia" w:ascii="黑体" w:hAnsi="仿宋_GB2312" w:eastAsia="黑体" w:cs="仿宋_GB2312"/>
          <w:color w:val="auto"/>
          <w:sz w:val="32"/>
          <w:szCs w:val="36"/>
          <w:highlight w:val="none"/>
          <w:u w:val="none"/>
        </w:rPr>
        <w:t>第三条</w:t>
      </w:r>
      <w:r>
        <w:rPr>
          <w:rFonts w:hint="eastAsia" w:ascii="黑体" w:hAnsi="仿宋_GB2312" w:eastAsia="黑体" w:cs="仿宋_GB2312"/>
          <w:color w:val="auto"/>
          <w:sz w:val="32"/>
          <w:szCs w:val="36"/>
          <w:highlight w:val="none"/>
          <w:u w:val="none"/>
          <w:lang w:val="en-US" w:eastAsia="zh-CN"/>
        </w:rPr>
        <w:t xml:space="preserve"> </w:t>
      </w:r>
      <w:r>
        <w:rPr>
          <w:rFonts w:hint="eastAsia" w:ascii="黑体" w:hAnsi="仿宋_GB2312" w:eastAsia="黑体" w:cs="仿宋_GB2312"/>
          <w:color w:val="auto"/>
          <w:sz w:val="32"/>
          <w:szCs w:val="36"/>
          <w:highlight w:val="none"/>
          <w:u w:val="none"/>
        </w:rPr>
        <w:t xml:space="preserve"> </w:t>
      </w:r>
      <w:r>
        <w:rPr>
          <w:rFonts w:hint="eastAsia" w:ascii="仿宋" w:hAnsi="仿宋" w:eastAsia="仿宋_GB2312" w:cs="仿宋_GB2312"/>
          <w:b w:val="0"/>
          <w:bCs/>
          <w:i w:val="0"/>
          <w:color w:val="auto"/>
          <w:kern w:val="0"/>
          <w:sz w:val="32"/>
          <w:szCs w:val="24"/>
          <w:lang w:eastAsia="zh-CN"/>
        </w:rPr>
        <w:t>药品管理应当以人民健康为中心，遵循风险管理、全程管控、社会共治的原则，</w:t>
      </w:r>
      <w:r>
        <w:rPr>
          <w:rFonts w:hint="default" w:ascii="仿宋" w:hAnsi="仿宋" w:eastAsia="仿宋_GB2312" w:cs="仿宋_GB2312"/>
          <w:b w:val="0"/>
          <w:bCs/>
          <w:i w:val="0"/>
          <w:color w:val="auto"/>
          <w:kern w:val="0"/>
          <w:sz w:val="32"/>
          <w:szCs w:val="24"/>
          <w:lang w:eastAsia="zh-CN"/>
        </w:rPr>
        <w:t>建立科学、严格的监督管理制度，全面提升药品质量，保障药品的安全、有效、可及</w:t>
      </w:r>
      <w:r>
        <w:rPr>
          <w:rFonts w:hint="eastAsia" w:ascii="仿宋" w:hAnsi="仿宋" w:eastAsia="仿宋_GB2312" w:cs="仿宋_GB2312"/>
          <w:b w:val="0"/>
          <w:bCs/>
          <w:i w:val="0"/>
          <w:color w:val="auto"/>
          <w:kern w:val="0"/>
          <w:sz w:val="32"/>
          <w:szCs w:val="24"/>
          <w:lang w:eastAsia="zh-CN"/>
        </w:rPr>
        <w:t>。</w:t>
      </w:r>
    </w:p>
    <w:p>
      <w:pPr>
        <w:spacing w:line="570" w:lineRule="exact"/>
        <w:ind w:firstLine="640" w:firstLineChars="200"/>
        <w:rPr>
          <w:rFonts w:hint="eastAsia" w:ascii="仿宋_GB2312" w:hAnsi="仿宋_GB2312" w:eastAsia="仿宋" w:cs="仿宋_GB2312"/>
          <w:color w:val="auto"/>
          <w:sz w:val="32"/>
          <w:szCs w:val="36"/>
          <w:highlight w:val="none"/>
          <w:u w:val="none"/>
        </w:rPr>
      </w:pPr>
      <w:r>
        <w:rPr>
          <w:rFonts w:hint="eastAsia" w:ascii="黑体" w:hAnsi="仿宋_GB2312" w:eastAsia="黑体" w:cs="仿宋_GB2312"/>
          <w:color w:val="auto"/>
          <w:sz w:val="32"/>
          <w:szCs w:val="36"/>
          <w:highlight w:val="none"/>
          <w:u w:val="none"/>
        </w:rPr>
        <w:t>第四条</w:t>
      </w:r>
      <w:r>
        <w:rPr>
          <w:rFonts w:hint="eastAsia" w:ascii="黑体" w:hAnsi="仿宋_GB2312" w:eastAsia="黑体" w:cs="仿宋_GB2312"/>
          <w:color w:val="auto"/>
          <w:sz w:val="32"/>
          <w:szCs w:val="36"/>
          <w:highlight w:val="none"/>
          <w:u w:val="none"/>
          <w:lang w:val="en-US" w:eastAsia="zh-CN"/>
        </w:rPr>
        <w:t xml:space="preserve"> </w:t>
      </w:r>
      <w:r>
        <w:rPr>
          <w:rFonts w:hint="eastAsia" w:ascii="黑体" w:hAnsi="仿宋_GB2312" w:eastAsia="黑体" w:cs="仿宋_GB2312"/>
          <w:color w:val="auto"/>
          <w:sz w:val="32"/>
          <w:szCs w:val="36"/>
          <w:highlight w:val="none"/>
          <w:u w:val="none"/>
        </w:rPr>
        <w:t xml:space="preserve"> </w:t>
      </w:r>
      <w:r>
        <w:rPr>
          <w:rFonts w:hint="eastAsia" w:ascii="仿宋" w:hAnsi="仿宋" w:eastAsia="仿宋_GB2312" w:cs="仿宋_GB2312"/>
          <w:b w:val="0"/>
          <w:bCs/>
          <w:i w:val="0"/>
          <w:color w:val="auto"/>
          <w:kern w:val="0"/>
          <w:sz w:val="32"/>
          <w:szCs w:val="24"/>
          <w:lang w:eastAsia="zh-CN"/>
        </w:rPr>
        <w:t>县级以上人民政府对本行政区域内的药品监督管理工作负责，统一领导、组织、协调本行政区域内的药品监督管理工作以及药品安全突发事件应对工作，建立健全药品监督管理工作机制和信息共享机制。</w:t>
      </w:r>
    </w:p>
    <w:p>
      <w:pPr>
        <w:spacing w:line="570" w:lineRule="exact"/>
        <w:ind w:firstLine="640" w:firstLineChars="200"/>
        <w:rPr>
          <w:rFonts w:hint="eastAsia" w:ascii="仿宋" w:hAnsi="仿宋" w:eastAsia="仿宋_GB2312" w:cs="仿宋_GB2312"/>
          <w:b w:val="0"/>
          <w:bCs/>
          <w:i w:val="0"/>
          <w:color w:val="auto"/>
          <w:kern w:val="0"/>
          <w:sz w:val="32"/>
          <w:szCs w:val="24"/>
          <w:lang w:eastAsia="zh-CN"/>
        </w:rPr>
      </w:pPr>
      <w:r>
        <w:rPr>
          <w:rFonts w:hint="eastAsia" w:ascii="黑体" w:hAnsi="仿宋_GB2312" w:eastAsia="黑体" w:cs="仿宋_GB2312"/>
          <w:color w:val="auto"/>
          <w:sz w:val="32"/>
          <w:szCs w:val="36"/>
          <w:highlight w:val="none"/>
          <w:u w:val="none"/>
        </w:rPr>
        <w:t xml:space="preserve">第五条 </w:t>
      </w:r>
      <w:r>
        <w:rPr>
          <w:rFonts w:hint="eastAsia" w:ascii="黑体" w:hAnsi="仿宋_GB2312" w:eastAsia="黑体" w:cs="仿宋_GB2312"/>
          <w:color w:val="auto"/>
          <w:sz w:val="32"/>
          <w:szCs w:val="36"/>
          <w:highlight w:val="none"/>
          <w:u w:val="none"/>
          <w:lang w:val="en-US" w:eastAsia="zh-CN"/>
        </w:rPr>
        <w:t xml:space="preserve"> </w:t>
      </w:r>
      <w:r>
        <w:rPr>
          <w:rFonts w:hint="eastAsia" w:ascii="仿宋" w:hAnsi="仿宋" w:eastAsia="仿宋_GB2312" w:cs="仿宋_GB2312"/>
          <w:b w:val="0"/>
          <w:bCs/>
          <w:i w:val="0"/>
          <w:color w:val="auto"/>
          <w:kern w:val="0"/>
          <w:sz w:val="32"/>
          <w:szCs w:val="24"/>
          <w:lang w:eastAsia="zh-CN"/>
        </w:rPr>
        <w:t>省人民政府药品监督管理部门负责全省的药品监督管理工作，市、州和县（市、区）人民政府承担药品监督管理职责的部门按照职责分工负责本行政区域内的药品监督管理工作。</w:t>
      </w:r>
    </w:p>
    <w:p>
      <w:pPr>
        <w:spacing w:line="570" w:lineRule="exact"/>
        <w:ind w:firstLine="640" w:firstLineChars="200"/>
        <w:rPr>
          <w:rFonts w:hint="eastAsia" w:ascii="仿宋_GB2312" w:hAnsi="仿宋_GB2312" w:eastAsia="仿宋" w:cs="仿宋_GB2312"/>
          <w:color w:val="auto"/>
          <w:sz w:val="32"/>
          <w:szCs w:val="36"/>
          <w:highlight w:val="none"/>
          <w:u w:val="none"/>
        </w:rPr>
      </w:pPr>
      <w:r>
        <w:rPr>
          <w:rFonts w:hint="eastAsia" w:ascii="仿宋" w:hAnsi="仿宋" w:eastAsia="仿宋_GB2312" w:cs="仿宋_GB2312"/>
          <w:b w:val="0"/>
          <w:bCs/>
          <w:i w:val="0"/>
          <w:color w:val="auto"/>
          <w:kern w:val="0"/>
          <w:sz w:val="32"/>
          <w:szCs w:val="24"/>
          <w:lang w:eastAsia="zh-CN"/>
        </w:rPr>
        <w:t>县级以上人民政府有关部门在各自职责范围内负责与药品有关的监督管理工作。</w:t>
      </w:r>
    </w:p>
    <w:p>
      <w:pPr>
        <w:spacing w:line="570" w:lineRule="exact"/>
        <w:ind w:firstLine="640" w:firstLineChars="200"/>
        <w:rPr>
          <w:rFonts w:hint="eastAsia" w:ascii="仿宋_GB2312" w:hAnsi="仿宋_GB2312" w:eastAsia="仿宋" w:cs="仿宋_GB2312"/>
          <w:color w:val="auto"/>
          <w:sz w:val="32"/>
          <w:szCs w:val="36"/>
          <w:highlight w:val="none"/>
          <w:u w:val="none"/>
        </w:rPr>
      </w:pPr>
      <w:r>
        <w:rPr>
          <w:rFonts w:hint="eastAsia" w:ascii="黑体" w:hAnsi="仿宋_GB2312" w:eastAsia="黑体" w:cs="仿宋_GB2312"/>
          <w:color w:val="auto"/>
          <w:sz w:val="32"/>
          <w:szCs w:val="36"/>
          <w:highlight w:val="none"/>
          <w:u w:val="none"/>
        </w:rPr>
        <w:t>第六条</w:t>
      </w:r>
      <w:r>
        <w:rPr>
          <w:rFonts w:ascii="黑体" w:hAnsi="仿宋_GB2312" w:eastAsia="黑体" w:cs="仿宋_GB2312"/>
          <w:color w:val="auto"/>
          <w:sz w:val="32"/>
          <w:szCs w:val="36"/>
          <w:highlight w:val="none"/>
          <w:u w:val="none"/>
          <w:lang w:val="en"/>
        </w:rPr>
        <w:t xml:space="preserve"> </w:t>
      </w:r>
      <w:r>
        <w:rPr>
          <w:rFonts w:hint="eastAsia" w:ascii="黑体" w:hAnsi="仿宋_GB2312" w:eastAsia="黑体" w:cs="仿宋_GB2312"/>
          <w:color w:val="auto"/>
          <w:sz w:val="32"/>
          <w:szCs w:val="36"/>
          <w:highlight w:val="none"/>
          <w:u w:val="none"/>
          <w:lang w:val="en-US" w:eastAsia="zh-CN"/>
        </w:rPr>
        <w:t xml:space="preserve"> </w:t>
      </w:r>
      <w:r>
        <w:rPr>
          <w:rFonts w:hint="eastAsia" w:ascii="仿宋" w:hAnsi="仿宋" w:eastAsia="仿宋_GB2312" w:cs="仿宋_GB2312"/>
          <w:b w:val="0"/>
          <w:bCs/>
          <w:i w:val="0"/>
          <w:color w:val="auto"/>
          <w:kern w:val="0"/>
          <w:sz w:val="32"/>
          <w:szCs w:val="24"/>
          <w:lang w:eastAsia="zh-CN"/>
        </w:rPr>
        <w:t>依法实行药品上市许可持有人制度。药品上市许可持有人依法对药品研制、生产、经营和使用全过程中药品的安全性、有效性和质量可控性负责。</w:t>
      </w:r>
    </w:p>
    <w:p>
      <w:pPr>
        <w:spacing w:line="570" w:lineRule="exact"/>
        <w:ind w:firstLine="640" w:firstLineChars="200"/>
        <w:rPr>
          <w:rFonts w:hint="eastAsia" w:ascii="仿宋_GB2312" w:hAnsi="仿宋_GB2312" w:eastAsia="仿宋" w:cs="仿宋_GB2312"/>
          <w:color w:val="auto"/>
          <w:sz w:val="32"/>
          <w:szCs w:val="36"/>
          <w:highlight w:val="none"/>
          <w:u w:val="none"/>
          <w:lang w:val="en"/>
        </w:rPr>
      </w:pPr>
      <w:r>
        <w:rPr>
          <w:rFonts w:hint="eastAsia" w:ascii="黑体" w:hAnsi="黑体" w:eastAsia="黑体" w:cs="黑体"/>
          <w:color w:val="auto"/>
          <w:sz w:val="32"/>
          <w:szCs w:val="36"/>
          <w:highlight w:val="none"/>
          <w:u w:val="none"/>
          <w:lang w:val="en"/>
        </w:rPr>
        <w:t>第七条</w:t>
      </w:r>
      <w:r>
        <w:rPr>
          <w:rFonts w:hint="eastAsia" w:ascii="仿宋_GB2312" w:hAnsi="仿宋_GB2312" w:eastAsia="仿宋" w:cs="仿宋_GB2312"/>
          <w:color w:val="auto"/>
          <w:sz w:val="32"/>
          <w:szCs w:val="36"/>
          <w:highlight w:val="none"/>
          <w:u w:val="none"/>
          <w:lang w:val="en"/>
        </w:rPr>
        <w:t xml:space="preserve"> </w:t>
      </w:r>
      <w:r>
        <w:rPr>
          <w:rFonts w:hint="eastAsia" w:ascii="仿宋_GB2312" w:hAnsi="仿宋_GB2312" w:eastAsia="仿宋" w:cs="仿宋_GB2312"/>
          <w:color w:val="auto"/>
          <w:sz w:val="32"/>
          <w:szCs w:val="36"/>
          <w:highlight w:val="none"/>
          <w:u w:val="none"/>
          <w:lang w:val="en-US" w:eastAsia="zh-CN"/>
        </w:rPr>
        <w:t xml:space="preserve"> </w:t>
      </w:r>
      <w:r>
        <w:rPr>
          <w:rFonts w:hint="eastAsia" w:ascii="仿宋" w:hAnsi="仿宋" w:eastAsia="仿宋_GB2312" w:cs="仿宋_GB2312"/>
          <w:b w:val="0"/>
          <w:bCs/>
          <w:i w:val="0"/>
          <w:color w:val="auto"/>
          <w:kern w:val="0"/>
          <w:sz w:val="32"/>
          <w:szCs w:val="24"/>
          <w:lang w:val="en" w:eastAsia="zh-CN"/>
        </w:rPr>
        <w:t>鼓励公众举报在药品研制、生产、经营和使用中的违法行为。有关部门应当按照规定对举报属实者给予奖励。</w:t>
      </w:r>
    </w:p>
    <w:p>
      <w:pPr>
        <w:pStyle w:val="2"/>
        <w:rPr>
          <w:rFonts w:hint="eastAsia"/>
          <w:lang w:val="en"/>
        </w:rPr>
      </w:pPr>
    </w:p>
    <w:p>
      <w:pPr>
        <w:pStyle w:val="2"/>
        <w:ind w:left="0" w:leftChars="0" w:firstLine="0" w:firstLineChars="0"/>
        <w:jc w:val="center"/>
        <w:rPr>
          <w:rFonts w:hint="eastAsia" w:ascii="黑体" w:hAnsi="黑体" w:eastAsia="黑体" w:cs="黑体"/>
          <w:szCs w:val="20"/>
          <w:lang w:eastAsia="zh-CN"/>
        </w:rPr>
      </w:pPr>
      <w:r>
        <w:rPr>
          <w:rFonts w:hint="eastAsia" w:ascii="黑体" w:hAnsi="黑体" w:eastAsia="黑体" w:cs="黑体"/>
          <w:szCs w:val="20"/>
          <w:lang w:eastAsia="zh-CN"/>
        </w:rPr>
        <w:t>第二章  药品生产和经营</w:t>
      </w:r>
    </w:p>
    <w:p>
      <w:pPr>
        <w:pStyle w:val="2"/>
        <w:ind w:left="0" w:leftChars="0" w:firstLine="0" w:firstLineChars="0"/>
        <w:jc w:val="center"/>
        <w:rPr>
          <w:rFonts w:hint="eastAsia" w:ascii="黑体" w:hAnsi="黑体" w:eastAsia="黑体" w:cs="黑体"/>
          <w:szCs w:val="20"/>
          <w:lang w:eastAsia="zh-CN"/>
        </w:rPr>
      </w:pPr>
    </w:p>
    <w:p>
      <w:pPr>
        <w:spacing w:line="570" w:lineRule="exact"/>
        <w:ind w:firstLine="640" w:firstLineChars="200"/>
        <w:rPr>
          <w:rFonts w:hint="eastAsia" w:ascii="仿宋" w:hAnsi="仿宋" w:eastAsia="仿宋_GB2312" w:cs="仿宋_GB2312"/>
          <w:b w:val="0"/>
          <w:bCs/>
          <w:i w:val="0"/>
          <w:color w:val="auto"/>
          <w:kern w:val="0"/>
          <w:sz w:val="32"/>
          <w:szCs w:val="24"/>
          <w:lang w:eastAsia="zh-CN"/>
        </w:rPr>
      </w:pPr>
      <w:r>
        <w:rPr>
          <w:rFonts w:hint="eastAsia" w:ascii="黑体" w:hAnsi="仿宋_GB2312" w:eastAsia="黑体" w:cs="仿宋_GB2312"/>
          <w:color w:val="auto"/>
          <w:sz w:val="32"/>
          <w:szCs w:val="36"/>
          <w:highlight w:val="none"/>
          <w:u w:val="none"/>
        </w:rPr>
        <w:t xml:space="preserve">第八条 </w:t>
      </w:r>
      <w:r>
        <w:rPr>
          <w:rFonts w:hint="eastAsia" w:ascii="黑体" w:hAnsi="仿宋_GB2312" w:eastAsia="黑体" w:cs="仿宋_GB2312"/>
          <w:color w:val="auto"/>
          <w:sz w:val="32"/>
          <w:szCs w:val="36"/>
          <w:highlight w:val="none"/>
          <w:u w:val="none"/>
          <w:lang w:val="en-US" w:eastAsia="zh-CN"/>
        </w:rPr>
        <w:t xml:space="preserve"> </w:t>
      </w:r>
      <w:r>
        <w:rPr>
          <w:rFonts w:hint="eastAsia" w:ascii="仿宋" w:hAnsi="仿宋" w:eastAsia="仿宋_GB2312" w:cs="仿宋_GB2312"/>
          <w:b w:val="0"/>
          <w:bCs/>
          <w:i w:val="0"/>
          <w:color w:val="auto"/>
          <w:kern w:val="0"/>
          <w:sz w:val="32"/>
          <w:szCs w:val="24"/>
          <w:lang w:eastAsia="zh-CN"/>
        </w:rPr>
        <w:t>从事药品生产活动，应当依法取得药品生产许可证，遵守药品生产质量管理规范，建立健全药品生产质量管理体系，保证药品生产全过程持续符合法定要求。</w:t>
      </w:r>
    </w:p>
    <w:p>
      <w:pPr>
        <w:spacing w:line="570" w:lineRule="exact"/>
        <w:ind w:firstLine="640" w:firstLineChars="200"/>
        <w:rPr>
          <w:rFonts w:hint="eastAsia" w:ascii="仿宋_GB2312" w:hAnsi="仿宋_GB2312" w:eastAsia="仿宋" w:cs="仿宋_GB2312"/>
          <w:color w:val="auto"/>
          <w:sz w:val="32"/>
          <w:szCs w:val="36"/>
          <w:highlight w:val="none"/>
          <w:u w:val="none"/>
        </w:rPr>
      </w:pPr>
      <w:r>
        <w:rPr>
          <w:rFonts w:hint="eastAsia" w:ascii="仿宋" w:hAnsi="仿宋" w:eastAsia="仿宋_GB2312" w:cs="仿宋_GB2312"/>
          <w:b w:val="0"/>
          <w:bCs/>
          <w:i w:val="0"/>
          <w:color w:val="auto"/>
          <w:kern w:val="0"/>
          <w:sz w:val="32"/>
          <w:szCs w:val="24"/>
          <w:lang w:eastAsia="zh-CN"/>
        </w:rPr>
        <w:t>药品生产许可证电子证书与纸质证书具有同等法律效力。</w:t>
      </w:r>
    </w:p>
    <w:p>
      <w:pPr>
        <w:spacing w:line="590" w:lineRule="exact"/>
        <w:ind w:firstLine="640" w:firstLineChars="200"/>
        <w:rPr>
          <w:rFonts w:hint="eastAsia" w:ascii="仿宋_GB2312" w:hAnsi="仿宋_GB2312" w:eastAsia="仿宋" w:cs="仿宋_GB2312"/>
          <w:color w:val="auto"/>
          <w:sz w:val="32"/>
          <w:szCs w:val="36"/>
          <w:highlight w:val="none"/>
          <w:u w:val="none"/>
          <w:lang w:val="en-US" w:eastAsia="zh-CN"/>
        </w:rPr>
      </w:pPr>
      <w:r>
        <w:rPr>
          <w:rFonts w:hint="eastAsia" w:ascii="黑体" w:hAnsi="仿宋_GB2312" w:eastAsia="黑体" w:cs="仿宋_GB2312"/>
          <w:color w:val="auto"/>
          <w:sz w:val="32"/>
          <w:szCs w:val="36"/>
          <w:highlight w:val="none"/>
          <w:u w:val="none"/>
          <w:lang w:eastAsia="zh-CN"/>
        </w:rPr>
        <w:t>第九条</w:t>
      </w:r>
      <w:r>
        <w:rPr>
          <w:rFonts w:hint="eastAsia" w:ascii="黑体" w:hAnsi="仿宋_GB2312" w:eastAsia="黑体" w:cs="仿宋_GB2312"/>
          <w:color w:val="auto"/>
          <w:sz w:val="32"/>
          <w:szCs w:val="36"/>
          <w:highlight w:val="none"/>
          <w:u w:val="none"/>
        </w:rPr>
        <w:t xml:space="preserve"> </w:t>
      </w:r>
      <w:r>
        <w:rPr>
          <w:rFonts w:hint="eastAsia" w:ascii="黑体" w:hAnsi="仿宋_GB2312" w:eastAsia="黑体" w:cs="仿宋_GB2312"/>
          <w:color w:val="auto"/>
          <w:sz w:val="32"/>
          <w:szCs w:val="36"/>
          <w:highlight w:val="none"/>
          <w:u w:val="none"/>
          <w:lang w:val="en-US" w:eastAsia="zh-CN"/>
        </w:rPr>
        <w:t xml:space="preserve"> </w:t>
      </w:r>
      <w:r>
        <w:rPr>
          <w:rFonts w:hint="eastAsia" w:ascii="仿宋" w:hAnsi="仿宋" w:eastAsia="仿宋_GB2312" w:cs="仿宋_GB2312"/>
          <w:b w:val="0"/>
          <w:bCs/>
          <w:i w:val="0"/>
          <w:color w:val="auto"/>
          <w:kern w:val="0"/>
          <w:sz w:val="32"/>
          <w:szCs w:val="24"/>
          <w:lang w:eastAsia="zh-CN"/>
        </w:rPr>
        <w:t>药品上市许可持有人、药品生产企业生产药品，应当按照国家药品标准或者经药品监督管理部门核准的药品注册标准和生产工艺进行生产，并按照规定的处方成份和处方量投料。</w:t>
      </w:r>
    </w:p>
    <w:p>
      <w:pPr>
        <w:spacing w:line="590" w:lineRule="exact"/>
        <w:ind w:firstLine="640" w:firstLineChars="200"/>
        <w:rPr>
          <w:rFonts w:hint="eastAsia" w:ascii="仿宋" w:hAnsi="仿宋" w:eastAsia="仿宋_GB2312" w:cs="仿宋_GB2312"/>
          <w:b w:val="0"/>
          <w:bCs/>
          <w:i w:val="0"/>
          <w:color w:val="auto"/>
          <w:kern w:val="0"/>
          <w:sz w:val="32"/>
          <w:szCs w:val="24"/>
          <w:lang w:eastAsia="zh-CN"/>
        </w:rPr>
      </w:pPr>
      <w:r>
        <w:rPr>
          <w:rFonts w:hint="eastAsia" w:ascii="黑体" w:hAnsi="仿宋_GB2312" w:eastAsia="黑体" w:cs="仿宋_GB2312"/>
          <w:color w:val="auto"/>
          <w:sz w:val="32"/>
          <w:szCs w:val="36"/>
          <w:highlight w:val="none"/>
          <w:u w:val="none"/>
          <w:lang w:eastAsia="zh-CN"/>
        </w:rPr>
        <w:t>第十条</w:t>
      </w:r>
      <w:r>
        <w:rPr>
          <w:rFonts w:hint="eastAsia" w:ascii="黑体" w:hAnsi="仿宋_GB2312" w:eastAsia="黑体" w:cs="仿宋_GB2312"/>
          <w:color w:val="auto"/>
          <w:sz w:val="32"/>
          <w:szCs w:val="36"/>
          <w:highlight w:val="none"/>
          <w:u w:val="none"/>
        </w:rPr>
        <w:t xml:space="preserve"> </w:t>
      </w:r>
      <w:r>
        <w:rPr>
          <w:rFonts w:hint="eastAsia" w:ascii="黑体" w:hAnsi="仿宋_GB2312" w:eastAsia="黑体" w:cs="仿宋_GB2312"/>
          <w:color w:val="auto"/>
          <w:sz w:val="32"/>
          <w:szCs w:val="36"/>
          <w:highlight w:val="none"/>
          <w:u w:val="none"/>
          <w:lang w:val="en-US" w:eastAsia="zh-CN"/>
        </w:rPr>
        <w:t xml:space="preserve"> </w:t>
      </w:r>
      <w:r>
        <w:rPr>
          <w:rFonts w:hint="eastAsia" w:ascii="仿宋" w:hAnsi="仿宋" w:eastAsia="仿宋_GB2312" w:cs="仿宋_GB2312"/>
          <w:b w:val="0"/>
          <w:bCs/>
          <w:i w:val="0"/>
          <w:color w:val="auto"/>
          <w:kern w:val="0"/>
          <w:sz w:val="32"/>
          <w:szCs w:val="24"/>
          <w:lang w:eastAsia="zh-CN"/>
        </w:rPr>
        <w:t>药品上市许可持有人、药品生产企业生产药品使用的原料、辅料，应当符合药用要求、药品生产质量管理规范的有关要求。</w:t>
      </w:r>
    </w:p>
    <w:p>
      <w:pPr>
        <w:spacing w:line="570" w:lineRule="exact"/>
        <w:ind w:firstLine="640" w:firstLineChars="200"/>
        <w:rPr>
          <w:rFonts w:hint="eastAsia" w:ascii="仿宋" w:hAnsi="仿宋" w:eastAsia="仿宋_GB2312" w:cs="仿宋_GB2312"/>
          <w:b w:val="0"/>
          <w:bCs/>
          <w:i w:val="0"/>
          <w:color w:val="auto"/>
          <w:kern w:val="0"/>
          <w:sz w:val="32"/>
          <w:szCs w:val="24"/>
          <w:lang w:eastAsia="zh-CN"/>
        </w:rPr>
      </w:pPr>
      <w:r>
        <w:rPr>
          <w:rFonts w:hint="eastAsia" w:ascii="仿宋" w:hAnsi="仿宋" w:eastAsia="仿宋_GB2312" w:cs="仿宋_GB2312"/>
          <w:b w:val="0"/>
          <w:bCs/>
          <w:i w:val="0"/>
          <w:color w:val="auto"/>
          <w:kern w:val="0"/>
          <w:sz w:val="32"/>
          <w:szCs w:val="24"/>
          <w:lang w:eastAsia="zh-CN"/>
        </w:rPr>
        <w:t>生产药品使用的原料药应当按照国家药品标准检验，使用的未实施批准文号管理的中药材、中药饮片，应当按照国家和省级相关标准检验，合格后方可投料。</w:t>
      </w:r>
    </w:p>
    <w:p>
      <w:pPr>
        <w:spacing w:line="570" w:lineRule="exact"/>
        <w:ind w:firstLine="640" w:firstLineChars="200"/>
        <w:rPr>
          <w:rFonts w:hint="eastAsia" w:ascii="仿宋" w:hAnsi="仿宋" w:eastAsia="仿宋_GB2312" w:cs="仿宋_GB2312"/>
          <w:b w:val="0"/>
          <w:bCs/>
          <w:i w:val="0"/>
          <w:color w:val="auto"/>
          <w:kern w:val="0"/>
          <w:sz w:val="32"/>
          <w:szCs w:val="24"/>
          <w:lang w:eastAsia="zh-CN"/>
        </w:rPr>
      </w:pPr>
      <w:r>
        <w:rPr>
          <w:rFonts w:hint="eastAsia" w:ascii="仿宋" w:hAnsi="仿宋" w:eastAsia="仿宋_GB2312" w:cs="仿宋_GB2312"/>
          <w:b w:val="0"/>
          <w:bCs/>
          <w:i w:val="0"/>
          <w:color w:val="auto"/>
          <w:kern w:val="0"/>
          <w:sz w:val="32"/>
          <w:szCs w:val="24"/>
          <w:lang w:eastAsia="zh-CN"/>
        </w:rPr>
        <w:t>禁止使用过期辅料、不符合相关标准的辅料、未经批准或者未通过关联审评审批的辅料生产药品。</w:t>
      </w:r>
    </w:p>
    <w:p>
      <w:pPr>
        <w:spacing w:line="570" w:lineRule="exact"/>
        <w:ind w:firstLine="640" w:firstLineChars="200"/>
        <w:rPr>
          <w:rFonts w:hint="eastAsia" w:ascii="仿宋" w:hAnsi="仿宋" w:eastAsia="仿宋_GB2312" w:cs="仿宋_GB2312"/>
          <w:b w:val="0"/>
          <w:bCs/>
          <w:i w:val="0"/>
          <w:color w:val="auto"/>
          <w:kern w:val="0"/>
          <w:sz w:val="32"/>
          <w:szCs w:val="24"/>
          <w:lang w:eastAsia="zh-CN"/>
        </w:rPr>
      </w:pPr>
      <w:r>
        <w:rPr>
          <w:rFonts w:hint="eastAsia" w:ascii="黑体" w:hAnsi="仿宋_GB2312" w:eastAsia="黑体" w:cs="仿宋_GB2312"/>
          <w:color w:val="auto"/>
          <w:sz w:val="32"/>
          <w:szCs w:val="36"/>
          <w:highlight w:val="none"/>
          <w:u w:val="none"/>
          <w:lang w:eastAsia="zh-CN"/>
        </w:rPr>
        <w:t>第十一条</w:t>
      </w:r>
      <w:r>
        <w:rPr>
          <w:rFonts w:hint="eastAsia" w:ascii="黑体" w:hAnsi="仿宋_GB2312" w:eastAsia="黑体" w:cs="仿宋_GB2312"/>
          <w:color w:val="auto"/>
          <w:sz w:val="32"/>
          <w:szCs w:val="36"/>
          <w:highlight w:val="none"/>
          <w:u w:val="none"/>
          <w:lang w:val="en-US" w:eastAsia="zh-CN"/>
        </w:rPr>
        <w:t xml:space="preserve"> </w:t>
      </w:r>
      <w:r>
        <w:rPr>
          <w:rFonts w:hint="eastAsia" w:ascii="黑体" w:hAnsi="仿宋_GB2312" w:eastAsia="黑体" w:cs="仿宋_GB2312"/>
          <w:color w:val="auto"/>
          <w:sz w:val="32"/>
          <w:szCs w:val="36"/>
          <w:highlight w:val="none"/>
          <w:u w:val="none"/>
        </w:rPr>
        <w:t xml:space="preserve"> </w:t>
      </w:r>
      <w:r>
        <w:rPr>
          <w:rFonts w:hint="eastAsia" w:ascii="仿宋" w:hAnsi="仿宋" w:eastAsia="仿宋_GB2312" w:cs="仿宋_GB2312"/>
          <w:b w:val="0"/>
          <w:bCs/>
          <w:i w:val="0"/>
          <w:color w:val="auto"/>
          <w:kern w:val="0"/>
          <w:sz w:val="32"/>
          <w:szCs w:val="24"/>
          <w:lang w:eastAsia="zh-CN"/>
        </w:rPr>
        <w:t>省人民政府药品监督管理部门应当依据国家药品监督管理部门制定的相关技术指导原则，组织制定本省的中药饮片炮制规范。</w:t>
      </w:r>
    </w:p>
    <w:p>
      <w:pPr>
        <w:spacing w:line="570" w:lineRule="exact"/>
        <w:ind w:firstLine="640" w:firstLineChars="200"/>
        <w:rPr>
          <w:rFonts w:hint="eastAsia" w:ascii="仿宋" w:hAnsi="仿宋" w:eastAsia="仿宋_GB2312" w:cs="仿宋_GB2312"/>
          <w:b w:val="0"/>
          <w:bCs/>
          <w:i w:val="0"/>
          <w:color w:val="auto"/>
          <w:kern w:val="0"/>
          <w:sz w:val="32"/>
          <w:szCs w:val="24"/>
          <w:lang w:val="en-US" w:eastAsia="zh-CN"/>
        </w:rPr>
      </w:pPr>
      <w:r>
        <w:rPr>
          <w:rFonts w:hint="eastAsia" w:ascii="黑体" w:hAnsi="仿宋_GB2312" w:eastAsia="黑体" w:cs="仿宋_GB2312"/>
          <w:color w:val="auto"/>
          <w:sz w:val="32"/>
          <w:szCs w:val="36"/>
          <w:highlight w:val="none"/>
          <w:u w:val="none"/>
          <w:lang w:eastAsia="zh-CN"/>
        </w:rPr>
        <w:t>第十二条</w:t>
      </w:r>
      <w:r>
        <w:rPr>
          <w:rFonts w:hint="eastAsia" w:ascii="仿宋" w:hAnsi="仿宋" w:eastAsia="黑体" w:cs="仿宋"/>
          <w:b w:val="0"/>
          <w:bCs/>
          <w:i w:val="0"/>
          <w:color w:val="auto"/>
          <w:sz w:val="32"/>
          <w:szCs w:val="36"/>
          <w:highlight w:val="none"/>
          <w:u w:val="none"/>
          <w:lang w:val="en-US" w:eastAsia="zh-CN"/>
        </w:rPr>
        <w:t xml:space="preserve">  </w:t>
      </w:r>
      <w:r>
        <w:rPr>
          <w:rFonts w:hint="eastAsia" w:ascii="仿宋" w:hAnsi="仿宋" w:eastAsia="仿宋_GB2312" w:cs="仿宋_GB2312"/>
          <w:b w:val="0"/>
          <w:bCs/>
          <w:i w:val="0"/>
          <w:color w:val="auto"/>
          <w:kern w:val="0"/>
          <w:sz w:val="32"/>
          <w:szCs w:val="24"/>
          <w:lang w:val="en-US" w:eastAsia="zh-CN"/>
        </w:rPr>
        <w:t>从事药品经营活动，应当依法取得药品经营许可证，遵守药品经营质量管理规范，建立健全药品经营质量管理体系，保证药品经营全过程持续符合法定要求。</w:t>
      </w:r>
    </w:p>
    <w:p>
      <w:pPr>
        <w:spacing w:line="570" w:lineRule="exact"/>
        <w:ind w:firstLine="640" w:firstLineChars="200"/>
        <w:rPr>
          <w:rFonts w:hint="eastAsia" w:ascii="仿宋_GB2312" w:hAnsi="仿宋_GB2312" w:eastAsia="仿宋" w:cs="仿宋_GB2312"/>
          <w:color w:val="auto"/>
          <w:sz w:val="32"/>
          <w:szCs w:val="36"/>
          <w:highlight w:val="none"/>
          <w:u w:val="none"/>
          <w:lang w:val="en-US" w:eastAsia="zh-CN"/>
        </w:rPr>
      </w:pPr>
      <w:r>
        <w:rPr>
          <w:rFonts w:hint="eastAsia" w:ascii="仿宋" w:hAnsi="仿宋" w:eastAsia="仿宋_GB2312" w:cs="仿宋_GB2312"/>
          <w:b w:val="0"/>
          <w:bCs/>
          <w:i w:val="0"/>
          <w:color w:val="auto"/>
          <w:kern w:val="0"/>
          <w:sz w:val="32"/>
          <w:szCs w:val="24"/>
          <w:lang w:val="en-US" w:eastAsia="zh-CN"/>
        </w:rPr>
        <w:t>药品经营许可证电子证书与纸质证书具有同等法律效力。</w:t>
      </w:r>
    </w:p>
    <w:p>
      <w:pPr>
        <w:spacing w:line="570" w:lineRule="exact"/>
        <w:ind w:firstLine="640" w:firstLineChars="200"/>
        <w:rPr>
          <w:rFonts w:hint="eastAsia" w:ascii="仿宋" w:hAnsi="仿宋" w:eastAsia="仿宋_GB2312" w:cs="仿宋_GB2312"/>
          <w:b w:val="0"/>
          <w:bCs/>
          <w:i w:val="0"/>
          <w:color w:val="auto"/>
          <w:kern w:val="0"/>
          <w:sz w:val="32"/>
          <w:szCs w:val="24"/>
          <w:lang w:eastAsia="zh-CN"/>
        </w:rPr>
      </w:pPr>
      <w:r>
        <w:rPr>
          <w:rFonts w:hint="eastAsia" w:ascii="黑体" w:hAnsi="仿宋_GB2312" w:eastAsia="黑体" w:cs="仿宋_GB2312"/>
          <w:color w:val="auto"/>
          <w:sz w:val="32"/>
          <w:szCs w:val="36"/>
          <w:highlight w:val="none"/>
          <w:u w:val="none"/>
          <w:lang w:eastAsia="zh-CN"/>
        </w:rPr>
        <w:t>第十三条</w:t>
      </w:r>
      <w:r>
        <w:rPr>
          <w:rFonts w:hint="eastAsia" w:ascii="黑体" w:hAnsi="仿宋_GB2312" w:eastAsia="黑体" w:cs="仿宋_GB2312"/>
          <w:color w:val="auto"/>
          <w:sz w:val="32"/>
          <w:szCs w:val="36"/>
          <w:highlight w:val="none"/>
          <w:u w:val="none"/>
        </w:rPr>
        <w:t xml:space="preserve"> </w:t>
      </w:r>
      <w:r>
        <w:rPr>
          <w:rFonts w:hint="eastAsia" w:ascii="黑体" w:hAnsi="仿宋_GB2312" w:eastAsia="黑体" w:cs="仿宋_GB2312"/>
          <w:color w:val="auto"/>
          <w:sz w:val="32"/>
          <w:szCs w:val="36"/>
          <w:highlight w:val="none"/>
          <w:u w:val="none"/>
          <w:lang w:val="en-US" w:eastAsia="zh-CN"/>
        </w:rPr>
        <w:t xml:space="preserve"> </w:t>
      </w:r>
      <w:r>
        <w:rPr>
          <w:rFonts w:hint="eastAsia" w:ascii="仿宋" w:hAnsi="仿宋" w:eastAsia="仿宋_GB2312" w:cs="仿宋_GB2312"/>
          <w:b w:val="0"/>
          <w:bCs/>
          <w:i w:val="0"/>
          <w:color w:val="auto"/>
          <w:kern w:val="0"/>
          <w:sz w:val="32"/>
          <w:szCs w:val="24"/>
          <w:lang w:eastAsia="zh-CN"/>
        </w:rPr>
        <w:t>药品经营企业应当按照药品经营许可证载明的许可事项销售药品。</w:t>
      </w:r>
    </w:p>
    <w:p>
      <w:pPr>
        <w:spacing w:line="570" w:lineRule="exact"/>
        <w:ind w:firstLine="640" w:firstLineChars="200"/>
        <w:rPr>
          <w:rFonts w:hint="eastAsia" w:ascii="仿宋" w:hAnsi="仿宋" w:eastAsia="仿宋_GB2312" w:cs="仿宋_GB2312"/>
          <w:b w:val="0"/>
          <w:bCs/>
          <w:i w:val="0"/>
          <w:color w:val="auto"/>
          <w:kern w:val="0"/>
          <w:sz w:val="32"/>
          <w:szCs w:val="24"/>
          <w:lang w:eastAsia="zh-CN"/>
        </w:rPr>
      </w:pPr>
      <w:r>
        <w:rPr>
          <w:rFonts w:hint="eastAsia" w:ascii="仿宋" w:hAnsi="仿宋" w:eastAsia="仿宋_GB2312" w:cs="仿宋_GB2312"/>
          <w:b w:val="0"/>
          <w:bCs/>
          <w:i w:val="0"/>
          <w:color w:val="auto"/>
          <w:kern w:val="0"/>
          <w:sz w:val="32"/>
          <w:szCs w:val="24"/>
          <w:lang w:eastAsia="zh-CN"/>
        </w:rPr>
        <w:t>变更药品经营许可证载明的许可事项的，应当向发证机关提出药品经营许可证变更申请。未经批准，不得擅自变更许可事项。</w:t>
      </w:r>
    </w:p>
    <w:p>
      <w:pPr>
        <w:spacing w:line="570" w:lineRule="exact"/>
        <w:ind w:firstLine="640" w:firstLineChars="200"/>
        <w:rPr>
          <w:rFonts w:hint="eastAsia" w:ascii="仿宋" w:hAnsi="仿宋" w:eastAsia="仿宋_GB2312" w:cs="仿宋_GB2312"/>
          <w:b w:val="0"/>
          <w:bCs/>
          <w:i w:val="0"/>
          <w:color w:val="auto"/>
          <w:kern w:val="0"/>
          <w:sz w:val="32"/>
          <w:szCs w:val="24"/>
          <w:lang w:eastAsia="zh-CN"/>
        </w:rPr>
      </w:pPr>
      <w:r>
        <w:rPr>
          <w:rFonts w:hint="eastAsia" w:ascii="黑体" w:hAnsi="仿宋_GB2312" w:eastAsia="黑体" w:cs="仿宋_GB2312"/>
          <w:color w:val="auto"/>
          <w:sz w:val="32"/>
          <w:szCs w:val="36"/>
          <w:highlight w:val="none"/>
          <w:u w:val="none"/>
          <w:lang w:eastAsia="zh-CN"/>
        </w:rPr>
        <w:t>第十四条</w:t>
      </w:r>
      <w:r>
        <w:rPr>
          <w:rFonts w:hint="eastAsia" w:ascii="黑体" w:hAnsi="仿宋_GB2312" w:eastAsia="黑体" w:cs="仿宋_GB2312"/>
          <w:color w:val="auto"/>
          <w:sz w:val="32"/>
          <w:szCs w:val="36"/>
          <w:highlight w:val="none"/>
          <w:u w:val="none"/>
        </w:rPr>
        <w:t xml:space="preserve"> </w:t>
      </w:r>
      <w:r>
        <w:rPr>
          <w:rFonts w:hint="eastAsia" w:ascii="黑体" w:hAnsi="仿宋_GB2312" w:eastAsia="黑体" w:cs="仿宋_GB2312"/>
          <w:color w:val="auto"/>
          <w:sz w:val="32"/>
          <w:szCs w:val="36"/>
          <w:highlight w:val="none"/>
          <w:u w:val="none"/>
          <w:lang w:val="en-US" w:eastAsia="zh-CN"/>
        </w:rPr>
        <w:t xml:space="preserve"> </w:t>
      </w:r>
      <w:r>
        <w:rPr>
          <w:rFonts w:hint="eastAsia" w:ascii="仿宋" w:hAnsi="仿宋" w:eastAsia="仿宋_GB2312" w:cs="仿宋_GB2312"/>
          <w:b w:val="0"/>
          <w:bCs/>
          <w:i w:val="0"/>
          <w:color w:val="auto"/>
          <w:kern w:val="0"/>
          <w:sz w:val="32"/>
          <w:szCs w:val="24"/>
          <w:lang w:eastAsia="zh-CN"/>
        </w:rPr>
        <w:t>药品上市许可持有人委托药品经营企业销售药品的，应当与受托经营企业签订委托协议，并按照规定提供委托范围、委托方式等可供追溯的信息。</w:t>
      </w:r>
    </w:p>
    <w:p>
      <w:pPr>
        <w:spacing w:line="570" w:lineRule="exact"/>
        <w:ind w:firstLine="640" w:firstLineChars="200"/>
        <w:rPr>
          <w:rFonts w:hint="eastAsia" w:ascii="仿宋" w:hAnsi="仿宋" w:eastAsia="仿宋_GB2312" w:cs="仿宋_GB2312"/>
          <w:b w:val="0"/>
          <w:bCs/>
          <w:i w:val="0"/>
          <w:color w:val="auto"/>
          <w:kern w:val="0"/>
          <w:sz w:val="32"/>
          <w:szCs w:val="24"/>
          <w:lang w:eastAsia="zh-CN"/>
        </w:rPr>
      </w:pPr>
      <w:r>
        <w:rPr>
          <w:rFonts w:hint="eastAsia" w:ascii="仿宋" w:hAnsi="仿宋" w:eastAsia="仿宋_GB2312" w:cs="仿宋_GB2312"/>
          <w:b w:val="0"/>
          <w:bCs/>
          <w:i w:val="0"/>
          <w:color w:val="auto"/>
          <w:kern w:val="0"/>
          <w:sz w:val="32"/>
          <w:szCs w:val="24"/>
          <w:lang w:eastAsia="zh-CN"/>
        </w:rPr>
        <w:t>药品生产企业可以销售本企业生产的药品，但不得销售本企业受委托生产的或者其他药品上市许可持有人、药品生产企业生产的药品。</w:t>
      </w:r>
    </w:p>
    <w:p>
      <w:pPr>
        <w:spacing w:line="570" w:lineRule="exact"/>
        <w:ind w:firstLine="640" w:firstLineChars="200"/>
        <w:rPr>
          <w:rFonts w:hint="eastAsia" w:ascii="仿宋" w:hAnsi="仿宋" w:eastAsia="仿宋_GB2312" w:cs="仿宋_GB2312"/>
          <w:b w:val="0"/>
          <w:bCs/>
          <w:i w:val="0"/>
          <w:color w:val="auto"/>
          <w:kern w:val="0"/>
          <w:sz w:val="32"/>
          <w:szCs w:val="24"/>
          <w:lang w:eastAsia="zh-CN"/>
        </w:rPr>
      </w:pPr>
      <w:r>
        <w:rPr>
          <w:rFonts w:hint="eastAsia" w:ascii="黑体" w:hAnsi="仿宋_GB2312" w:eastAsia="黑体" w:cs="仿宋_GB2312"/>
          <w:color w:val="auto"/>
          <w:sz w:val="32"/>
          <w:szCs w:val="36"/>
          <w:highlight w:val="none"/>
          <w:u w:val="none"/>
          <w:lang w:eastAsia="zh-CN"/>
        </w:rPr>
        <w:t>第十五条</w:t>
      </w:r>
      <w:r>
        <w:rPr>
          <w:rFonts w:hint="eastAsia" w:ascii="黑体" w:hAnsi="仿宋_GB2312" w:eastAsia="黑体" w:cs="仿宋_GB2312"/>
          <w:color w:val="auto"/>
          <w:sz w:val="32"/>
          <w:szCs w:val="36"/>
          <w:highlight w:val="none"/>
          <w:u w:val="none"/>
        </w:rPr>
        <w:t xml:space="preserve"> </w:t>
      </w:r>
      <w:r>
        <w:rPr>
          <w:rFonts w:hint="eastAsia" w:ascii="黑体" w:hAnsi="仿宋_GB2312" w:eastAsia="黑体" w:cs="仿宋_GB2312"/>
          <w:color w:val="auto"/>
          <w:sz w:val="32"/>
          <w:szCs w:val="36"/>
          <w:highlight w:val="none"/>
          <w:u w:val="none"/>
          <w:lang w:val="en-US" w:eastAsia="zh-CN"/>
        </w:rPr>
        <w:t xml:space="preserve"> </w:t>
      </w:r>
      <w:r>
        <w:rPr>
          <w:rFonts w:hint="eastAsia" w:ascii="仿宋" w:hAnsi="仿宋" w:eastAsia="仿宋_GB2312" w:cs="仿宋_GB2312"/>
          <w:b w:val="0"/>
          <w:bCs/>
          <w:i w:val="0"/>
          <w:color w:val="auto"/>
          <w:kern w:val="0"/>
          <w:sz w:val="32"/>
          <w:szCs w:val="24"/>
          <w:lang w:eastAsia="zh-CN"/>
        </w:rPr>
        <w:t>药品上市许可持有人、药品生产企业、药品批发企业不得向个人和无药品生产许可证、药品经营许可证、医疗机构执业许可证从事生产、经营的单位提供药品。</w:t>
      </w:r>
    </w:p>
    <w:p>
      <w:pPr>
        <w:spacing w:line="570" w:lineRule="exact"/>
        <w:ind w:firstLine="640" w:firstLineChars="200"/>
        <w:rPr>
          <w:rFonts w:hint="eastAsia" w:ascii="仿宋" w:hAnsi="仿宋" w:eastAsia="仿宋_GB2312" w:cs="仿宋_GB2312"/>
          <w:b w:val="0"/>
          <w:bCs/>
          <w:i w:val="0"/>
          <w:color w:val="auto"/>
          <w:kern w:val="0"/>
          <w:sz w:val="32"/>
          <w:szCs w:val="24"/>
          <w:lang w:eastAsia="zh-CN"/>
        </w:rPr>
      </w:pPr>
      <w:r>
        <w:rPr>
          <w:rFonts w:hint="eastAsia" w:ascii="黑体" w:hAnsi="仿宋_GB2312" w:eastAsia="黑体" w:cs="仿宋_GB2312"/>
          <w:color w:val="auto"/>
          <w:sz w:val="32"/>
          <w:szCs w:val="36"/>
          <w:highlight w:val="none"/>
          <w:u w:val="none"/>
          <w:lang w:eastAsia="zh-CN"/>
        </w:rPr>
        <w:t>第十六条</w:t>
      </w:r>
      <w:r>
        <w:rPr>
          <w:rFonts w:hint="eastAsia" w:ascii="黑体" w:hAnsi="仿宋_GB2312" w:eastAsia="黑体" w:cs="仿宋_GB2312"/>
          <w:color w:val="auto"/>
          <w:sz w:val="32"/>
          <w:szCs w:val="36"/>
          <w:highlight w:val="none"/>
          <w:u w:val="none"/>
        </w:rPr>
        <w:t xml:space="preserve"> </w:t>
      </w:r>
      <w:r>
        <w:rPr>
          <w:rFonts w:hint="eastAsia" w:ascii="黑体" w:hAnsi="仿宋_GB2312" w:eastAsia="黑体" w:cs="仿宋_GB2312"/>
          <w:color w:val="auto"/>
          <w:sz w:val="32"/>
          <w:szCs w:val="36"/>
          <w:highlight w:val="none"/>
          <w:u w:val="none"/>
          <w:lang w:val="en-US" w:eastAsia="zh-CN"/>
        </w:rPr>
        <w:t xml:space="preserve"> </w:t>
      </w:r>
      <w:r>
        <w:rPr>
          <w:rFonts w:hint="eastAsia" w:ascii="仿宋" w:hAnsi="仿宋" w:eastAsia="仿宋_GB2312" w:cs="仿宋_GB2312"/>
          <w:b w:val="0"/>
          <w:bCs/>
          <w:i w:val="0"/>
          <w:color w:val="auto"/>
          <w:kern w:val="0"/>
          <w:sz w:val="32"/>
          <w:szCs w:val="24"/>
          <w:lang w:eastAsia="zh-CN"/>
        </w:rPr>
        <w:t>鼓励、引导药品零售连锁经营。从事药品零售连锁经营活动的企业总部应当按照药品经营质量管理规范的要求，建立健全涵盖企业总部、全部连锁门店和配送中心的药品质量管理体系和统一的药品质量管理制度，对连锁门店的经营活动履行管理责任。</w:t>
      </w:r>
    </w:p>
    <w:p>
      <w:pPr>
        <w:spacing w:line="570" w:lineRule="exact"/>
        <w:ind w:firstLine="640" w:firstLineChars="200"/>
        <w:rPr>
          <w:rFonts w:hint="eastAsia" w:ascii="仿宋" w:hAnsi="仿宋" w:eastAsia="仿宋_GB2312" w:cs="仿宋_GB2312"/>
          <w:b w:val="0"/>
          <w:bCs/>
          <w:i w:val="0"/>
          <w:color w:val="auto"/>
          <w:kern w:val="0"/>
          <w:sz w:val="32"/>
          <w:szCs w:val="24"/>
          <w:lang w:eastAsia="zh-CN"/>
        </w:rPr>
      </w:pPr>
      <w:r>
        <w:rPr>
          <w:rFonts w:hint="eastAsia" w:ascii="仿宋" w:hAnsi="仿宋" w:eastAsia="仿宋_GB2312" w:cs="仿宋_GB2312"/>
          <w:b w:val="0"/>
          <w:bCs/>
          <w:i w:val="0"/>
          <w:color w:val="auto"/>
          <w:kern w:val="0"/>
          <w:sz w:val="32"/>
          <w:szCs w:val="24"/>
          <w:lang w:eastAsia="zh-CN"/>
        </w:rPr>
        <w:t>连锁门店应当按照要求依法开展药品零售活动。</w:t>
      </w:r>
    </w:p>
    <w:p>
      <w:pPr>
        <w:spacing w:line="570" w:lineRule="exact"/>
        <w:ind w:firstLine="640" w:firstLineChars="200"/>
        <w:rPr>
          <w:rFonts w:hint="eastAsia" w:ascii="仿宋" w:hAnsi="仿宋" w:eastAsia="仿宋_GB2312" w:cs="仿宋_GB2312"/>
          <w:b w:val="0"/>
          <w:bCs/>
          <w:i w:val="0"/>
          <w:color w:val="auto"/>
          <w:kern w:val="0"/>
          <w:sz w:val="32"/>
          <w:szCs w:val="24"/>
          <w:lang w:eastAsia="zh-CN"/>
        </w:rPr>
      </w:pPr>
      <w:r>
        <w:rPr>
          <w:rFonts w:hint="eastAsia" w:ascii="黑体" w:hAnsi="仿宋_GB2312" w:eastAsia="黑体" w:cs="仿宋_GB2312"/>
          <w:color w:val="auto"/>
          <w:sz w:val="32"/>
          <w:szCs w:val="36"/>
          <w:highlight w:val="none"/>
          <w:u w:val="none"/>
          <w:lang w:eastAsia="zh-CN"/>
        </w:rPr>
        <w:t>第十七条</w:t>
      </w:r>
      <w:r>
        <w:rPr>
          <w:rFonts w:hint="eastAsia" w:ascii="黑体" w:hAnsi="仿宋_GB2312" w:eastAsia="黑体" w:cs="仿宋_GB2312"/>
          <w:color w:val="auto"/>
          <w:sz w:val="32"/>
          <w:szCs w:val="36"/>
          <w:highlight w:val="none"/>
          <w:u w:val="none"/>
          <w:lang w:val="en-US" w:eastAsia="zh-CN"/>
        </w:rPr>
        <w:t xml:space="preserve"> </w:t>
      </w:r>
      <w:r>
        <w:rPr>
          <w:rFonts w:hint="eastAsia" w:ascii="黑体" w:hAnsi="仿宋_GB2312" w:eastAsia="黑体" w:cs="仿宋_GB2312"/>
          <w:color w:val="auto"/>
          <w:sz w:val="32"/>
          <w:szCs w:val="36"/>
          <w:highlight w:val="none"/>
          <w:u w:val="none"/>
        </w:rPr>
        <w:t xml:space="preserve"> </w:t>
      </w:r>
      <w:r>
        <w:rPr>
          <w:rFonts w:hint="eastAsia" w:ascii="仿宋" w:hAnsi="仿宋" w:eastAsia="仿宋_GB2312" w:cs="仿宋_GB2312"/>
          <w:b w:val="0"/>
          <w:bCs/>
          <w:i w:val="0"/>
          <w:color w:val="auto"/>
          <w:kern w:val="0"/>
          <w:sz w:val="32"/>
          <w:szCs w:val="24"/>
          <w:lang w:eastAsia="zh-CN"/>
        </w:rPr>
        <w:t>药品零售企业应当凭执业医师、执业助理医师或者注册执业乡村医生的处方销售处方药。</w:t>
      </w:r>
    </w:p>
    <w:p>
      <w:pPr>
        <w:spacing w:line="570" w:lineRule="exact"/>
        <w:ind w:firstLine="640" w:firstLineChars="200"/>
        <w:rPr>
          <w:rFonts w:hint="eastAsia" w:ascii="仿宋" w:hAnsi="仿宋" w:eastAsia="仿宋_GB2312" w:cs="仿宋_GB2312"/>
          <w:b w:val="0"/>
          <w:bCs/>
          <w:i w:val="0"/>
          <w:color w:val="auto"/>
          <w:kern w:val="0"/>
          <w:sz w:val="32"/>
          <w:szCs w:val="24"/>
          <w:lang w:eastAsia="zh-CN"/>
        </w:rPr>
      </w:pPr>
      <w:r>
        <w:rPr>
          <w:rFonts w:hint="eastAsia" w:ascii="仿宋" w:hAnsi="仿宋" w:eastAsia="仿宋_GB2312" w:cs="仿宋_GB2312"/>
          <w:b w:val="0"/>
          <w:bCs/>
          <w:i w:val="0"/>
          <w:color w:val="auto"/>
          <w:kern w:val="0"/>
          <w:sz w:val="32"/>
          <w:szCs w:val="24"/>
          <w:lang w:eastAsia="zh-CN"/>
        </w:rPr>
        <w:t>医疗机构依据国家卫生健康管理部门制定的互联网诊疗管理规定出具的电子处方与纸质处方具有同等效力。</w:t>
      </w:r>
    </w:p>
    <w:p>
      <w:pPr>
        <w:spacing w:line="590" w:lineRule="exact"/>
        <w:ind w:firstLine="640" w:firstLineChars="200"/>
        <w:rPr>
          <w:rFonts w:hint="eastAsia" w:ascii="仿宋" w:hAnsi="仿宋" w:eastAsia="仿宋_GB2312" w:cs="仿宋_GB2312"/>
          <w:b w:val="0"/>
          <w:bCs/>
          <w:i w:val="0"/>
          <w:color w:val="auto"/>
          <w:kern w:val="0"/>
          <w:sz w:val="32"/>
          <w:szCs w:val="24"/>
          <w:lang w:eastAsia="zh-CN"/>
        </w:rPr>
      </w:pPr>
      <w:r>
        <w:rPr>
          <w:rFonts w:hint="eastAsia" w:ascii="黑体" w:hAnsi="仿宋_GB2312" w:eastAsia="黑体" w:cs="仿宋_GB2312"/>
          <w:color w:val="auto"/>
          <w:sz w:val="32"/>
          <w:szCs w:val="36"/>
          <w:highlight w:val="none"/>
          <w:u w:val="none"/>
          <w:lang w:eastAsia="zh-CN"/>
        </w:rPr>
        <w:t>第十八条</w:t>
      </w:r>
      <w:r>
        <w:rPr>
          <w:rFonts w:hint="eastAsia" w:ascii="黑体" w:hAnsi="仿宋_GB2312" w:eastAsia="黑体" w:cs="仿宋_GB2312"/>
          <w:color w:val="auto"/>
          <w:sz w:val="32"/>
          <w:szCs w:val="36"/>
          <w:highlight w:val="none"/>
          <w:u w:val="none"/>
        </w:rPr>
        <w:t xml:space="preserve"> </w:t>
      </w:r>
      <w:r>
        <w:rPr>
          <w:rFonts w:hint="eastAsia" w:ascii="黑体" w:hAnsi="仿宋_GB2312" w:eastAsia="黑体" w:cs="仿宋_GB2312"/>
          <w:color w:val="auto"/>
          <w:sz w:val="32"/>
          <w:szCs w:val="36"/>
          <w:highlight w:val="none"/>
          <w:u w:val="none"/>
          <w:lang w:val="en-US" w:eastAsia="zh-CN"/>
        </w:rPr>
        <w:t xml:space="preserve"> </w:t>
      </w:r>
      <w:r>
        <w:rPr>
          <w:rFonts w:hint="eastAsia" w:ascii="仿宋" w:hAnsi="仿宋" w:eastAsia="仿宋_GB2312" w:cs="仿宋_GB2312"/>
          <w:b w:val="0"/>
          <w:bCs/>
          <w:i w:val="0"/>
          <w:color w:val="auto"/>
          <w:kern w:val="0"/>
          <w:sz w:val="32"/>
          <w:szCs w:val="24"/>
          <w:lang w:eastAsia="zh-CN"/>
        </w:rPr>
        <w:t>省人民政府药品监督管理部门应当根据本省执业药师和药学技术人员队伍的实际情况，结合药品零售企业的经营品种、经营规模、地域差异和药品安全风险等因素，制定差异化配备执业药师和其他药学技术人员的规定，与国家药品监督管理部门的相关规定相衔接，稳步提升执业药师配备比例。</w:t>
      </w:r>
    </w:p>
    <w:p>
      <w:pPr>
        <w:spacing w:line="570" w:lineRule="exact"/>
        <w:ind w:firstLine="640" w:firstLineChars="200"/>
        <w:rPr>
          <w:rFonts w:hint="eastAsia" w:ascii="仿宋" w:hAnsi="仿宋" w:eastAsia="仿宋_GB2312" w:cs="仿宋_GB2312"/>
          <w:b w:val="0"/>
          <w:bCs/>
          <w:i w:val="0"/>
          <w:color w:val="auto"/>
          <w:kern w:val="0"/>
          <w:sz w:val="32"/>
          <w:szCs w:val="24"/>
          <w:lang w:eastAsia="zh-CN"/>
        </w:rPr>
      </w:pPr>
      <w:r>
        <w:rPr>
          <w:rFonts w:hint="eastAsia" w:ascii="黑体" w:hAnsi="仿宋_GB2312" w:eastAsia="黑体" w:cs="仿宋_GB2312"/>
          <w:color w:val="auto"/>
          <w:sz w:val="32"/>
          <w:szCs w:val="36"/>
          <w:highlight w:val="none"/>
          <w:u w:val="none"/>
          <w:lang w:eastAsia="zh-CN"/>
        </w:rPr>
        <w:t>第十九条</w:t>
      </w:r>
      <w:r>
        <w:rPr>
          <w:rFonts w:hint="eastAsia" w:ascii="黑体" w:hAnsi="仿宋_GB2312" w:eastAsia="黑体" w:cs="仿宋_GB2312"/>
          <w:color w:val="auto"/>
          <w:sz w:val="32"/>
          <w:szCs w:val="36"/>
          <w:highlight w:val="none"/>
          <w:u w:val="none"/>
        </w:rPr>
        <w:t xml:space="preserve"> </w:t>
      </w:r>
      <w:r>
        <w:rPr>
          <w:rFonts w:hint="eastAsia" w:ascii="黑体" w:hAnsi="仿宋_GB2312" w:eastAsia="黑体" w:cs="仿宋_GB2312"/>
          <w:color w:val="auto"/>
          <w:sz w:val="32"/>
          <w:szCs w:val="36"/>
          <w:highlight w:val="none"/>
          <w:u w:val="none"/>
          <w:lang w:val="en-US" w:eastAsia="zh-CN"/>
        </w:rPr>
        <w:t xml:space="preserve"> </w:t>
      </w:r>
      <w:r>
        <w:rPr>
          <w:rFonts w:hint="eastAsia" w:ascii="仿宋" w:hAnsi="仿宋" w:eastAsia="仿宋_GB2312" w:cs="仿宋_GB2312"/>
          <w:b w:val="0"/>
          <w:bCs/>
          <w:i w:val="0"/>
          <w:color w:val="auto"/>
          <w:kern w:val="0"/>
          <w:sz w:val="32"/>
          <w:szCs w:val="24"/>
          <w:lang w:eastAsia="zh-CN"/>
        </w:rPr>
        <w:t>药品上市许可持有人、药品生产企业、药品经营企业、医疗机构应当根据药品的质量属性和药品说明书的要求对药品进行运输、储存；委托运输、储存药品的，应当监督受托方履行委托协议，保证运输、储存过程中的药品质量。</w:t>
      </w:r>
    </w:p>
    <w:p>
      <w:pPr>
        <w:spacing w:line="570" w:lineRule="exact"/>
        <w:ind w:firstLine="640" w:firstLineChars="200"/>
        <w:rPr>
          <w:rFonts w:hint="eastAsia" w:ascii="仿宋" w:hAnsi="仿宋" w:eastAsia="仿宋_GB2312" w:cs="仿宋_GB2312"/>
          <w:b w:val="0"/>
          <w:bCs/>
          <w:i w:val="0"/>
          <w:color w:val="auto"/>
          <w:kern w:val="0"/>
          <w:sz w:val="32"/>
          <w:szCs w:val="24"/>
          <w:lang w:eastAsia="zh-CN"/>
        </w:rPr>
      </w:pPr>
      <w:r>
        <w:rPr>
          <w:rFonts w:hint="eastAsia" w:ascii="仿宋" w:hAnsi="仿宋" w:eastAsia="仿宋_GB2312" w:cs="仿宋_GB2312"/>
          <w:b w:val="0"/>
          <w:bCs/>
          <w:i w:val="0"/>
          <w:color w:val="auto"/>
          <w:kern w:val="0"/>
          <w:sz w:val="32"/>
          <w:szCs w:val="24"/>
          <w:lang w:eastAsia="zh-CN"/>
        </w:rPr>
        <w:t>药品说明书要求冷冻、冷藏储存的药品，药品上市许可持有人、药品生产企业、药品经营企业、医疗机构以及运输、储存受托方应当按照有关规定，使用冷冻、冷藏设施设备运输、储存。</w:t>
      </w:r>
    </w:p>
    <w:p>
      <w:pPr>
        <w:spacing w:line="570" w:lineRule="exact"/>
        <w:ind w:firstLine="640" w:firstLineChars="200"/>
        <w:rPr>
          <w:rFonts w:hint="eastAsia" w:ascii="仿宋" w:hAnsi="仿宋" w:eastAsia="仿宋_GB2312" w:cs="仿宋_GB2312"/>
          <w:b w:val="0"/>
          <w:bCs/>
          <w:i w:val="0"/>
          <w:color w:val="auto"/>
          <w:kern w:val="0"/>
          <w:sz w:val="32"/>
          <w:szCs w:val="24"/>
          <w:lang w:eastAsia="zh-CN"/>
        </w:rPr>
      </w:pPr>
      <w:r>
        <w:rPr>
          <w:rFonts w:hint="eastAsia" w:ascii="黑体" w:hAnsi="仿宋_GB2312" w:eastAsia="黑体" w:cs="仿宋_GB2312"/>
          <w:color w:val="auto"/>
          <w:sz w:val="32"/>
          <w:szCs w:val="36"/>
          <w:highlight w:val="none"/>
          <w:u w:val="none"/>
          <w:lang w:eastAsia="zh-CN"/>
        </w:rPr>
        <w:t>第二十条</w:t>
      </w:r>
      <w:r>
        <w:rPr>
          <w:rFonts w:hint="eastAsia" w:ascii="黑体" w:hAnsi="仿宋_GB2312" w:eastAsia="黑体" w:cs="仿宋_GB2312"/>
          <w:color w:val="auto"/>
          <w:sz w:val="32"/>
          <w:szCs w:val="36"/>
          <w:highlight w:val="none"/>
          <w:u w:val="none"/>
        </w:rPr>
        <w:t xml:space="preserve"> </w:t>
      </w:r>
      <w:r>
        <w:rPr>
          <w:rFonts w:hint="eastAsia" w:ascii="黑体" w:hAnsi="仿宋_GB2312" w:eastAsia="黑体" w:cs="仿宋_GB2312"/>
          <w:color w:val="auto"/>
          <w:sz w:val="32"/>
          <w:szCs w:val="36"/>
          <w:highlight w:val="none"/>
          <w:u w:val="none"/>
          <w:lang w:val="en-US" w:eastAsia="zh-CN"/>
        </w:rPr>
        <w:t xml:space="preserve"> </w:t>
      </w:r>
      <w:r>
        <w:rPr>
          <w:rFonts w:hint="eastAsia" w:ascii="仿宋" w:hAnsi="仿宋" w:eastAsia="仿宋_GB2312" w:cs="仿宋_GB2312"/>
          <w:b w:val="0"/>
          <w:bCs/>
          <w:i w:val="0"/>
          <w:color w:val="auto"/>
          <w:kern w:val="0"/>
          <w:sz w:val="32"/>
          <w:szCs w:val="24"/>
          <w:lang w:eastAsia="zh-CN"/>
        </w:rPr>
        <w:t>药品上市许可持有人、药品生产企业、药品经营企业和医疗机构在药品购销和使用过程中发现假药、劣药的，应当立即停止生产、销售、使用，并及时向其所在地药品监督管理部门报告，不得自行处理。</w:t>
      </w:r>
    </w:p>
    <w:p>
      <w:pPr>
        <w:spacing w:line="570" w:lineRule="exact"/>
        <w:ind w:firstLine="640" w:firstLineChars="200"/>
        <w:rPr>
          <w:rFonts w:hint="eastAsia" w:ascii="仿宋" w:hAnsi="仿宋" w:eastAsia="仿宋_GB2312" w:cs="仿宋_GB2312"/>
          <w:b w:val="0"/>
          <w:bCs/>
          <w:i w:val="0"/>
          <w:color w:val="auto"/>
          <w:kern w:val="0"/>
          <w:sz w:val="32"/>
          <w:szCs w:val="24"/>
          <w:lang w:eastAsia="zh-CN"/>
        </w:rPr>
      </w:pPr>
      <w:r>
        <w:rPr>
          <w:rFonts w:hint="eastAsia" w:ascii="黑体" w:hAnsi="黑体" w:eastAsia="黑体" w:cs="黑体"/>
          <w:color w:val="auto"/>
          <w:sz w:val="32"/>
          <w:szCs w:val="36"/>
          <w:highlight w:val="none"/>
          <w:u w:val="none"/>
          <w:lang w:eastAsia="zh-CN"/>
        </w:rPr>
        <w:t>第二十一条</w:t>
      </w:r>
      <w:r>
        <w:rPr>
          <w:rFonts w:hint="eastAsia" w:ascii="黑体" w:hAnsi="黑体" w:eastAsia="黑体" w:cs="黑体"/>
          <w:color w:val="auto"/>
          <w:sz w:val="32"/>
          <w:szCs w:val="36"/>
          <w:highlight w:val="none"/>
          <w:u w:val="none"/>
          <w:lang w:val="en-US" w:eastAsia="zh-CN"/>
        </w:rPr>
        <w:t xml:space="preserve">  </w:t>
      </w:r>
      <w:r>
        <w:rPr>
          <w:rFonts w:hint="eastAsia" w:ascii="仿宋" w:hAnsi="仿宋" w:eastAsia="仿宋_GB2312" w:cs="仿宋_GB2312"/>
          <w:b w:val="0"/>
          <w:bCs/>
          <w:i w:val="0"/>
          <w:color w:val="auto"/>
          <w:kern w:val="0"/>
          <w:sz w:val="32"/>
          <w:szCs w:val="24"/>
          <w:lang w:eastAsia="zh-CN"/>
        </w:rPr>
        <w:t>禁止任何单位和个人非法收购药品或者收购过期药品。</w:t>
      </w:r>
    </w:p>
    <w:p>
      <w:pPr>
        <w:pStyle w:val="2"/>
        <w:rPr>
          <w:rFonts w:hint="eastAsia"/>
        </w:rPr>
      </w:pPr>
    </w:p>
    <w:p>
      <w:pPr>
        <w:pStyle w:val="2"/>
        <w:ind w:left="0" w:leftChars="0" w:firstLine="0" w:firstLineChars="0"/>
        <w:jc w:val="center"/>
        <w:rPr>
          <w:rFonts w:hint="eastAsia" w:ascii="黑体" w:hAnsi="黑体" w:eastAsia="黑体" w:cs="黑体"/>
          <w:szCs w:val="20"/>
          <w:lang w:eastAsia="zh-CN"/>
        </w:rPr>
      </w:pPr>
      <w:r>
        <w:rPr>
          <w:rFonts w:hint="eastAsia" w:ascii="黑体" w:hAnsi="黑体" w:eastAsia="黑体" w:cs="黑体"/>
          <w:szCs w:val="20"/>
          <w:lang w:eastAsia="zh-CN"/>
        </w:rPr>
        <w:t>第三章  医疗机构药事管理</w:t>
      </w:r>
    </w:p>
    <w:p>
      <w:pPr>
        <w:pStyle w:val="2"/>
        <w:ind w:left="0" w:leftChars="0" w:firstLine="0" w:firstLineChars="0"/>
        <w:jc w:val="center"/>
        <w:rPr>
          <w:rFonts w:hint="eastAsia" w:ascii="黑体" w:hAnsi="黑体" w:eastAsia="黑体" w:cs="黑体"/>
          <w:szCs w:val="20"/>
          <w:lang w:eastAsia="zh-CN"/>
        </w:rPr>
      </w:pPr>
    </w:p>
    <w:p>
      <w:pPr>
        <w:spacing w:line="570" w:lineRule="exact"/>
        <w:ind w:firstLine="640" w:firstLineChars="200"/>
        <w:rPr>
          <w:rFonts w:hint="eastAsia" w:ascii="仿宋" w:hAnsi="仿宋" w:eastAsia="仿宋_GB2312" w:cs="仿宋_GB2312"/>
          <w:b w:val="0"/>
          <w:bCs/>
          <w:i w:val="0"/>
          <w:color w:val="auto"/>
          <w:kern w:val="0"/>
          <w:sz w:val="32"/>
          <w:szCs w:val="24"/>
          <w:lang w:eastAsia="zh-CN"/>
        </w:rPr>
      </w:pPr>
      <w:r>
        <w:rPr>
          <w:rFonts w:hint="eastAsia" w:ascii="黑体" w:hAnsi="仿宋_GB2312" w:eastAsia="黑体" w:cs="仿宋_GB2312"/>
          <w:color w:val="auto"/>
          <w:sz w:val="32"/>
          <w:szCs w:val="36"/>
          <w:highlight w:val="none"/>
          <w:u w:val="none"/>
          <w:lang w:eastAsia="zh-CN"/>
        </w:rPr>
        <w:t>第二十二条</w:t>
      </w:r>
      <w:r>
        <w:rPr>
          <w:rFonts w:hint="eastAsia" w:ascii="黑体" w:hAnsi="仿宋_GB2312" w:eastAsia="黑体" w:cs="仿宋_GB2312"/>
          <w:color w:val="auto"/>
          <w:sz w:val="32"/>
          <w:szCs w:val="36"/>
          <w:highlight w:val="none"/>
          <w:u w:val="none"/>
          <w:lang w:val="en-US" w:eastAsia="zh-CN"/>
        </w:rPr>
        <w:t xml:space="preserve"> </w:t>
      </w:r>
      <w:r>
        <w:rPr>
          <w:rFonts w:hint="eastAsia" w:ascii="黑体" w:hAnsi="仿宋_GB2312" w:eastAsia="黑体" w:cs="仿宋_GB2312"/>
          <w:color w:val="auto"/>
          <w:sz w:val="32"/>
          <w:szCs w:val="36"/>
          <w:highlight w:val="none"/>
          <w:u w:val="none"/>
        </w:rPr>
        <w:t xml:space="preserve"> </w:t>
      </w:r>
      <w:r>
        <w:rPr>
          <w:rFonts w:hint="eastAsia" w:ascii="仿宋" w:hAnsi="仿宋" w:eastAsia="仿宋_GB2312" w:cs="仿宋_GB2312"/>
          <w:b w:val="0"/>
          <w:bCs/>
          <w:i w:val="0"/>
          <w:color w:val="auto"/>
          <w:kern w:val="0"/>
          <w:sz w:val="32"/>
          <w:szCs w:val="24"/>
          <w:lang w:eastAsia="zh-CN"/>
        </w:rPr>
        <w:t>医疗机构设置药房或者药柜，应当符合有关药品购进、验收、保管、储存的规定，制定和执行药品保管、储存制度，保证药品质量。</w:t>
      </w:r>
    </w:p>
    <w:p>
      <w:pPr>
        <w:spacing w:line="570" w:lineRule="exact"/>
        <w:ind w:firstLine="640" w:firstLineChars="200"/>
        <w:rPr>
          <w:rFonts w:hint="eastAsia" w:ascii="仿宋" w:hAnsi="仿宋" w:eastAsia="仿宋_GB2312" w:cs="仿宋_GB2312"/>
          <w:b w:val="0"/>
          <w:bCs/>
          <w:i w:val="0"/>
          <w:color w:val="auto"/>
          <w:kern w:val="0"/>
          <w:sz w:val="32"/>
          <w:szCs w:val="24"/>
          <w:lang w:eastAsia="zh-CN"/>
        </w:rPr>
      </w:pPr>
      <w:r>
        <w:rPr>
          <w:rFonts w:hint="eastAsia" w:ascii="仿宋" w:hAnsi="仿宋" w:eastAsia="仿宋_GB2312" w:cs="仿宋_GB2312"/>
          <w:b w:val="0"/>
          <w:bCs/>
          <w:i w:val="0"/>
          <w:color w:val="auto"/>
          <w:kern w:val="0"/>
          <w:sz w:val="32"/>
          <w:szCs w:val="24"/>
          <w:lang w:eastAsia="zh-CN"/>
        </w:rPr>
        <w:t>医疗机构内设科室不得违反规定私设药柜，医务人员以及其他人员不得私自销售药品或者制剂。</w:t>
      </w:r>
    </w:p>
    <w:p>
      <w:pPr>
        <w:spacing w:line="590" w:lineRule="exact"/>
        <w:ind w:firstLine="640" w:firstLineChars="200"/>
        <w:rPr>
          <w:rFonts w:hint="eastAsia" w:ascii="仿宋_GB2312" w:hAnsi="仿宋_GB2312" w:eastAsia="仿宋" w:cs="仿宋_GB2312"/>
          <w:color w:val="auto"/>
          <w:sz w:val="32"/>
          <w:szCs w:val="36"/>
          <w:highlight w:val="none"/>
          <w:u w:val="none"/>
        </w:rPr>
      </w:pPr>
      <w:r>
        <w:rPr>
          <w:rFonts w:hint="eastAsia" w:ascii="黑体" w:hAnsi="仿宋_GB2312" w:eastAsia="黑体" w:cs="仿宋_GB2312"/>
          <w:color w:val="auto"/>
          <w:sz w:val="32"/>
          <w:szCs w:val="36"/>
          <w:highlight w:val="none"/>
          <w:u w:val="none"/>
          <w:lang w:eastAsia="zh-CN"/>
        </w:rPr>
        <w:t>第二十三条</w:t>
      </w:r>
      <w:r>
        <w:rPr>
          <w:rFonts w:hint="eastAsia" w:ascii="黑体" w:hAnsi="仿宋_GB2312" w:eastAsia="黑体" w:cs="仿宋_GB2312"/>
          <w:color w:val="auto"/>
          <w:sz w:val="32"/>
          <w:szCs w:val="36"/>
          <w:highlight w:val="none"/>
          <w:u w:val="none"/>
          <w:lang w:val="en-US" w:eastAsia="zh-CN"/>
        </w:rPr>
        <w:t xml:space="preserve"> </w:t>
      </w:r>
      <w:r>
        <w:rPr>
          <w:rFonts w:hint="eastAsia" w:ascii="黑体" w:hAnsi="仿宋_GB2312" w:eastAsia="黑体" w:cs="仿宋_GB2312"/>
          <w:color w:val="auto"/>
          <w:sz w:val="32"/>
          <w:szCs w:val="36"/>
          <w:highlight w:val="none"/>
          <w:u w:val="none"/>
        </w:rPr>
        <w:t xml:space="preserve"> </w:t>
      </w:r>
      <w:r>
        <w:rPr>
          <w:rFonts w:hint="eastAsia" w:ascii="仿宋" w:hAnsi="仿宋" w:eastAsia="仿宋_GB2312" w:cs="仿宋_GB2312"/>
          <w:b w:val="0"/>
          <w:bCs/>
          <w:i w:val="0"/>
          <w:color w:val="auto"/>
          <w:kern w:val="0"/>
          <w:sz w:val="32"/>
          <w:szCs w:val="24"/>
          <w:lang w:eastAsia="zh-CN"/>
        </w:rPr>
        <w:t>农村卫生所（室）、个体诊所应当从药品上市许可持有人、药品生产企业或者药品批发企业购进药品，也可以按照国家和省有关规定，由本乡（镇）卫生院或者履行乡（镇）卫生院职能的社区卫生服务机构代购药品。乡（镇）卫生院或者社区卫生服务机构不得再委托他人代购药品。</w:t>
      </w:r>
    </w:p>
    <w:p>
      <w:pPr>
        <w:spacing w:line="570" w:lineRule="exact"/>
        <w:ind w:firstLine="640" w:firstLineChars="200"/>
        <w:rPr>
          <w:rFonts w:hint="eastAsia" w:ascii="仿宋" w:hAnsi="仿宋" w:eastAsia="仿宋_GB2312" w:cs="仿宋_GB2312"/>
          <w:b w:val="0"/>
          <w:bCs/>
          <w:i w:val="0"/>
          <w:color w:val="auto"/>
          <w:kern w:val="0"/>
          <w:sz w:val="32"/>
          <w:szCs w:val="24"/>
          <w:lang w:eastAsia="zh-CN"/>
        </w:rPr>
      </w:pPr>
      <w:r>
        <w:rPr>
          <w:rFonts w:hint="eastAsia" w:ascii="黑体" w:hAnsi="仿宋_GB2312" w:eastAsia="黑体" w:cs="仿宋_GB2312"/>
          <w:color w:val="auto"/>
          <w:sz w:val="32"/>
          <w:szCs w:val="36"/>
          <w:highlight w:val="none"/>
          <w:u w:val="none"/>
          <w:lang w:eastAsia="zh-CN"/>
        </w:rPr>
        <w:t>第二十四条</w:t>
      </w:r>
      <w:r>
        <w:rPr>
          <w:rFonts w:hint="eastAsia" w:ascii="黑体" w:hAnsi="仿宋_GB2312" w:eastAsia="黑体" w:cs="仿宋_GB2312"/>
          <w:color w:val="auto"/>
          <w:sz w:val="32"/>
          <w:szCs w:val="36"/>
          <w:highlight w:val="none"/>
          <w:u w:val="none"/>
          <w:lang w:val="en-US" w:eastAsia="zh-CN"/>
        </w:rPr>
        <w:t xml:space="preserve"> </w:t>
      </w:r>
      <w:r>
        <w:rPr>
          <w:rFonts w:hint="eastAsia" w:ascii="黑体" w:hAnsi="仿宋_GB2312" w:eastAsia="黑体" w:cs="仿宋_GB2312"/>
          <w:color w:val="auto"/>
          <w:sz w:val="32"/>
          <w:szCs w:val="36"/>
          <w:highlight w:val="none"/>
          <w:u w:val="none"/>
        </w:rPr>
        <w:t xml:space="preserve"> </w:t>
      </w:r>
      <w:r>
        <w:rPr>
          <w:rFonts w:hint="eastAsia" w:ascii="仿宋" w:hAnsi="仿宋" w:eastAsia="仿宋_GB2312" w:cs="仿宋_GB2312"/>
          <w:b w:val="0"/>
          <w:bCs/>
          <w:i w:val="0"/>
          <w:color w:val="auto"/>
          <w:kern w:val="0"/>
          <w:sz w:val="32"/>
          <w:szCs w:val="24"/>
          <w:lang w:eastAsia="zh-CN"/>
        </w:rPr>
        <w:t>患者有权获得处方，并持处方选择在就诊的医疗机构或者药品零售企业购买药品。医疗机构、医务人员不得以任何方式限制。</w:t>
      </w:r>
    </w:p>
    <w:p>
      <w:pPr>
        <w:spacing w:line="570" w:lineRule="exact"/>
        <w:ind w:firstLine="640" w:firstLineChars="200"/>
        <w:rPr>
          <w:rFonts w:hint="eastAsia" w:ascii="仿宋" w:hAnsi="仿宋" w:eastAsia="仿宋_GB2312" w:cs="仿宋_GB2312"/>
          <w:b w:val="0"/>
          <w:bCs/>
          <w:i w:val="0"/>
          <w:color w:val="auto"/>
          <w:kern w:val="0"/>
          <w:sz w:val="32"/>
          <w:szCs w:val="24"/>
          <w:lang w:eastAsia="zh-CN"/>
        </w:rPr>
      </w:pPr>
      <w:r>
        <w:rPr>
          <w:rFonts w:hint="eastAsia" w:ascii="黑体" w:hAnsi="仿宋_GB2312" w:eastAsia="黑体" w:cs="仿宋_GB2312"/>
          <w:color w:val="auto"/>
          <w:sz w:val="32"/>
          <w:szCs w:val="36"/>
          <w:highlight w:val="none"/>
          <w:u w:val="none"/>
          <w:lang w:eastAsia="zh-CN"/>
        </w:rPr>
        <w:t>第二十五条</w:t>
      </w:r>
      <w:r>
        <w:rPr>
          <w:rFonts w:hint="eastAsia" w:ascii="黑体" w:hAnsi="仿宋_GB2312" w:eastAsia="黑体" w:cs="仿宋_GB2312"/>
          <w:color w:val="auto"/>
          <w:sz w:val="32"/>
          <w:szCs w:val="36"/>
          <w:highlight w:val="none"/>
          <w:u w:val="none"/>
          <w:lang w:val="en-US" w:eastAsia="zh-CN"/>
        </w:rPr>
        <w:t xml:space="preserve"> </w:t>
      </w:r>
      <w:r>
        <w:rPr>
          <w:rFonts w:hint="eastAsia" w:ascii="黑体" w:hAnsi="仿宋_GB2312" w:eastAsia="黑体" w:cs="仿宋_GB2312"/>
          <w:color w:val="auto"/>
          <w:sz w:val="32"/>
          <w:szCs w:val="36"/>
          <w:highlight w:val="none"/>
          <w:u w:val="none"/>
        </w:rPr>
        <w:t xml:space="preserve"> </w:t>
      </w:r>
      <w:r>
        <w:rPr>
          <w:rFonts w:hint="eastAsia" w:ascii="仿宋" w:hAnsi="仿宋" w:eastAsia="仿宋_GB2312" w:cs="仿宋_GB2312"/>
          <w:b w:val="0"/>
          <w:bCs/>
          <w:i w:val="0"/>
          <w:color w:val="auto"/>
          <w:kern w:val="0"/>
          <w:sz w:val="32"/>
          <w:szCs w:val="24"/>
          <w:lang w:eastAsia="zh-CN"/>
        </w:rPr>
        <w:t>医疗机构配制制剂，应当经省人民政府药品监督管理部门批准，取得医疗机构制剂许可证。无医疗机构制剂许可证的，不得配制制剂。</w:t>
      </w:r>
    </w:p>
    <w:p>
      <w:pPr>
        <w:spacing w:line="570" w:lineRule="exact"/>
        <w:ind w:firstLine="640" w:firstLineChars="200"/>
        <w:rPr>
          <w:rFonts w:hint="eastAsia" w:ascii="仿宋_GB2312" w:hAnsi="仿宋_GB2312" w:eastAsia="仿宋" w:cs="仿宋_GB2312"/>
          <w:color w:val="auto"/>
          <w:sz w:val="32"/>
          <w:szCs w:val="36"/>
          <w:highlight w:val="none"/>
          <w:u w:val="none"/>
        </w:rPr>
      </w:pPr>
      <w:r>
        <w:rPr>
          <w:rFonts w:hint="eastAsia" w:ascii="仿宋" w:hAnsi="仿宋" w:eastAsia="仿宋_GB2312" w:cs="仿宋_GB2312"/>
          <w:b w:val="0"/>
          <w:bCs/>
          <w:i w:val="0"/>
          <w:color w:val="auto"/>
          <w:kern w:val="0"/>
          <w:sz w:val="32"/>
          <w:szCs w:val="24"/>
          <w:lang w:eastAsia="zh-CN"/>
        </w:rPr>
        <w:t>医疗机构配制中药制剂所需的设施设备，应当与制剂品种、配制规模以及配制工艺相适应。仅应用传统工艺配制中药制剂的，药品监督管理部门不得提高配制中药制剂所需的设施设备的标准和条件。</w:t>
      </w:r>
    </w:p>
    <w:p>
      <w:pPr>
        <w:spacing w:line="570" w:lineRule="exact"/>
        <w:ind w:firstLine="640" w:firstLineChars="200"/>
        <w:rPr>
          <w:rFonts w:hint="eastAsia" w:ascii="仿宋" w:hAnsi="仿宋" w:eastAsia="仿宋_GB2312" w:cs="仿宋_GB2312"/>
          <w:b w:val="0"/>
          <w:bCs/>
          <w:i w:val="0"/>
          <w:color w:val="auto"/>
          <w:kern w:val="0"/>
          <w:sz w:val="32"/>
          <w:szCs w:val="24"/>
          <w:lang w:eastAsia="zh-CN"/>
        </w:rPr>
      </w:pPr>
      <w:r>
        <w:rPr>
          <w:rFonts w:hint="eastAsia" w:ascii="黑体" w:hAnsi="仿宋_GB2312" w:eastAsia="黑体" w:cs="仿宋_GB2312"/>
          <w:color w:val="auto"/>
          <w:sz w:val="32"/>
          <w:szCs w:val="36"/>
          <w:highlight w:val="none"/>
          <w:u w:val="none"/>
          <w:lang w:eastAsia="zh-CN"/>
        </w:rPr>
        <w:t>第二十六条</w:t>
      </w:r>
      <w:r>
        <w:rPr>
          <w:rFonts w:hint="eastAsia" w:ascii="黑体" w:hAnsi="仿宋_GB2312" w:eastAsia="黑体" w:cs="仿宋_GB2312"/>
          <w:color w:val="auto"/>
          <w:sz w:val="32"/>
          <w:szCs w:val="36"/>
          <w:highlight w:val="none"/>
          <w:u w:val="none"/>
          <w:lang w:val="en-US" w:eastAsia="zh-CN"/>
        </w:rPr>
        <w:t xml:space="preserve"> </w:t>
      </w:r>
      <w:r>
        <w:rPr>
          <w:rFonts w:hint="eastAsia" w:ascii="黑体" w:hAnsi="仿宋_GB2312" w:eastAsia="黑体" w:cs="仿宋_GB2312"/>
          <w:color w:val="auto"/>
          <w:sz w:val="32"/>
          <w:szCs w:val="36"/>
          <w:highlight w:val="none"/>
          <w:u w:val="none"/>
        </w:rPr>
        <w:t xml:space="preserve"> </w:t>
      </w:r>
      <w:r>
        <w:rPr>
          <w:rFonts w:hint="eastAsia" w:ascii="仿宋" w:hAnsi="仿宋" w:eastAsia="仿宋_GB2312" w:cs="仿宋_GB2312"/>
          <w:b w:val="0"/>
          <w:bCs/>
          <w:i w:val="0"/>
          <w:color w:val="auto"/>
          <w:kern w:val="0"/>
          <w:sz w:val="32"/>
          <w:szCs w:val="24"/>
          <w:lang w:eastAsia="zh-CN"/>
        </w:rPr>
        <w:t>医疗机构配制的制剂品种，应当依法取得制剂批准文号。</w:t>
      </w:r>
    </w:p>
    <w:p>
      <w:pPr>
        <w:spacing w:line="570" w:lineRule="exact"/>
        <w:ind w:firstLine="640" w:firstLineChars="200"/>
        <w:rPr>
          <w:rFonts w:hint="eastAsia" w:ascii="仿宋_GB2312" w:hAnsi="仿宋_GB2312" w:eastAsia="仿宋" w:cs="仿宋_GB2312"/>
          <w:color w:val="auto"/>
          <w:sz w:val="32"/>
          <w:szCs w:val="36"/>
          <w:highlight w:val="none"/>
          <w:u w:val="none"/>
        </w:rPr>
      </w:pPr>
      <w:r>
        <w:rPr>
          <w:rFonts w:hint="eastAsia" w:ascii="仿宋" w:hAnsi="仿宋" w:eastAsia="仿宋_GB2312" w:cs="仿宋_GB2312"/>
          <w:b w:val="0"/>
          <w:bCs/>
          <w:i w:val="0"/>
          <w:color w:val="auto"/>
          <w:kern w:val="0"/>
          <w:sz w:val="32"/>
          <w:szCs w:val="24"/>
          <w:lang w:eastAsia="zh-CN"/>
        </w:rPr>
        <w:t>仅应用传统工艺配制的中药制剂品种，向省人民政府药品监督管理部门备案后，即可按照备案材料载明的要求配制，不需要取得制剂批准文号。</w:t>
      </w:r>
    </w:p>
    <w:p>
      <w:pPr>
        <w:spacing w:line="570" w:lineRule="exact"/>
        <w:ind w:firstLine="640" w:firstLineChars="200"/>
        <w:rPr>
          <w:rFonts w:hint="eastAsia" w:ascii="仿宋_GB2312" w:hAnsi="仿宋_GB2312" w:eastAsia="仿宋" w:cs="仿宋_GB2312"/>
          <w:color w:val="auto"/>
          <w:sz w:val="32"/>
          <w:szCs w:val="36"/>
          <w:highlight w:val="none"/>
          <w:u w:val="none"/>
        </w:rPr>
      </w:pPr>
      <w:r>
        <w:rPr>
          <w:rFonts w:hint="eastAsia" w:ascii="黑体" w:hAnsi="仿宋_GB2312" w:eastAsia="黑体" w:cs="仿宋_GB2312"/>
          <w:color w:val="auto"/>
          <w:sz w:val="32"/>
          <w:szCs w:val="36"/>
          <w:highlight w:val="none"/>
          <w:u w:val="none"/>
          <w:lang w:eastAsia="zh-CN"/>
        </w:rPr>
        <w:t>第二十七条</w:t>
      </w:r>
      <w:r>
        <w:rPr>
          <w:rFonts w:hint="eastAsia" w:ascii="黑体" w:hAnsi="仿宋_GB2312" w:eastAsia="黑体" w:cs="仿宋_GB2312"/>
          <w:color w:val="auto"/>
          <w:sz w:val="32"/>
          <w:szCs w:val="36"/>
          <w:highlight w:val="none"/>
          <w:u w:val="none"/>
          <w:lang w:val="en-US" w:eastAsia="zh-CN"/>
        </w:rPr>
        <w:t xml:space="preserve"> </w:t>
      </w:r>
      <w:r>
        <w:rPr>
          <w:rFonts w:hint="eastAsia" w:ascii="黑体" w:hAnsi="仿宋_GB2312" w:eastAsia="黑体" w:cs="仿宋_GB2312"/>
          <w:color w:val="auto"/>
          <w:sz w:val="32"/>
          <w:szCs w:val="36"/>
          <w:highlight w:val="none"/>
          <w:u w:val="none"/>
        </w:rPr>
        <w:t xml:space="preserve"> </w:t>
      </w:r>
      <w:r>
        <w:rPr>
          <w:rFonts w:hint="eastAsia" w:ascii="仿宋" w:hAnsi="仿宋" w:eastAsia="仿宋_GB2312" w:cs="仿宋_GB2312"/>
          <w:b w:val="0"/>
          <w:bCs/>
          <w:i w:val="0"/>
          <w:color w:val="auto"/>
          <w:kern w:val="0"/>
          <w:sz w:val="32"/>
          <w:szCs w:val="24"/>
          <w:lang w:eastAsia="zh-CN"/>
        </w:rPr>
        <w:t>医疗机构配制制剂，应当遵守医疗机构制剂配制质量管理规范，建立健全制剂配制质量管理体系，保证制剂配制全过程持续符合法定要求。</w:t>
      </w:r>
    </w:p>
    <w:p>
      <w:pPr>
        <w:spacing w:line="570" w:lineRule="exact"/>
        <w:ind w:firstLine="640" w:firstLineChars="200"/>
        <w:rPr>
          <w:rFonts w:hint="eastAsia" w:ascii="仿宋_GB2312" w:hAnsi="仿宋_GB2312" w:eastAsia="仿宋" w:cs="仿宋_GB2312"/>
          <w:color w:val="auto"/>
          <w:sz w:val="32"/>
          <w:szCs w:val="36"/>
          <w:highlight w:val="none"/>
          <w:u w:val="none"/>
          <w:lang w:eastAsia="zh-CN"/>
        </w:rPr>
      </w:pPr>
      <w:r>
        <w:rPr>
          <w:rFonts w:hint="eastAsia" w:ascii="黑体" w:hAnsi="黑体" w:eastAsia="黑体" w:cs="黑体"/>
          <w:b w:val="0"/>
          <w:bCs w:val="0"/>
          <w:color w:val="auto"/>
          <w:sz w:val="32"/>
          <w:szCs w:val="36"/>
          <w:highlight w:val="none"/>
          <w:u w:val="none"/>
          <w:lang w:val="en-US" w:eastAsia="zh-CN"/>
        </w:rPr>
        <w:t xml:space="preserve">第二十八条 </w:t>
      </w:r>
      <w:r>
        <w:rPr>
          <w:rFonts w:hint="eastAsia" w:ascii="仿宋_GB2312" w:hAnsi="仿宋_GB2312" w:eastAsia="黑体" w:cs="仿宋_GB2312"/>
          <w:b w:val="0"/>
          <w:bCs/>
          <w:i w:val="0"/>
          <w:color w:val="auto"/>
          <w:sz w:val="32"/>
          <w:szCs w:val="36"/>
          <w:highlight w:val="none"/>
          <w:u w:val="none"/>
          <w:lang w:val="en-US" w:eastAsia="zh-CN"/>
        </w:rPr>
        <w:t xml:space="preserve"> </w:t>
      </w:r>
      <w:r>
        <w:rPr>
          <w:rFonts w:hint="eastAsia" w:ascii="仿宋" w:hAnsi="仿宋" w:eastAsia="仿宋_GB2312" w:cs="仿宋_GB2312"/>
          <w:b w:val="0"/>
          <w:bCs/>
          <w:i w:val="0"/>
          <w:color w:val="auto"/>
          <w:kern w:val="0"/>
          <w:sz w:val="32"/>
          <w:szCs w:val="24"/>
          <w:lang w:eastAsia="zh-CN"/>
        </w:rPr>
        <w:t>医疗机构除依法自行配制中药制剂外，也可以委托取得药品生产许可证的药品生产企业、取得医疗机构制剂许可证的其他医疗机构配制中药制剂，并向省人民政府药品监督管理部门备案。</w:t>
      </w:r>
    </w:p>
    <w:p>
      <w:pPr>
        <w:spacing w:line="570" w:lineRule="exact"/>
        <w:ind w:firstLine="640" w:firstLineChars="200"/>
        <w:rPr>
          <w:rFonts w:hint="eastAsia" w:ascii="仿宋_GB2312" w:hAnsi="仿宋_GB2312" w:eastAsia="仿宋" w:cs="仿宋_GB2312"/>
          <w:color w:val="auto"/>
          <w:sz w:val="32"/>
          <w:szCs w:val="36"/>
          <w:highlight w:val="none"/>
          <w:u w:val="none"/>
          <w:lang w:eastAsia="zh-CN"/>
        </w:rPr>
      </w:pPr>
      <w:r>
        <w:rPr>
          <w:rFonts w:hint="eastAsia" w:ascii="黑体" w:hAnsi="仿宋_GB2312" w:eastAsia="黑体" w:cs="仿宋_GB2312"/>
          <w:color w:val="auto"/>
          <w:sz w:val="32"/>
          <w:szCs w:val="36"/>
          <w:highlight w:val="none"/>
          <w:u w:val="none"/>
          <w:lang w:eastAsia="zh-CN"/>
        </w:rPr>
        <w:t>第二十九条</w:t>
      </w:r>
      <w:r>
        <w:rPr>
          <w:rFonts w:hint="eastAsia" w:ascii="黑体" w:hAnsi="仿宋_GB2312" w:eastAsia="黑体" w:cs="仿宋_GB2312"/>
          <w:color w:val="auto"/>
          <w:sz w:val="32"/>
          <w:szCs w:val="36"/>
          <w:highlight w:val="none"/>
          <w:u w:val="none"/>
          <w:lang w:val="en-US" w:eastAsia="zh-CN"/>
        </w:rPr>
        <w:t xml:space="preserve"> </w:t>
      </w:r>
      <w:r>
        <w:rPr>
          <w:rFonts w:hint="eastAsia" w:ascii="黑体" w:hAnsi="仿宋_GB2312" w:eastAsia="黑体" w:cs="仿宋_GB2312"/>
          <w:color w:val="auto"/>
          <w:sz w:val="32"/>
          <w:szCs w:val="36"/>
          <w:highlight w:val="none"/>
          <w:u w:val="none"/>
        </w:rPr>
        <w:t xml:space="preserve"> </w:t>
      </w:r>
      <w:r>
        <w:rPr>
          <w:rFonts w:hint="eastAsia" w:ascii="仿宋" w:hAnsi="仿宋" w:eastAsia="仿宋_GB2312" w:cs="仿宋_GB2312"/>
          <w:b w:val="0"/>
          <w:bCs/>
          <w:i w:val="0"/>
          <w:color w:val="auto"/>
          <w:kern w:val="0"/>
          <w:sz w:val="32"/>
          <w:szCs w:val="24"/>
          <w:lang w:eastAsia="zh-CN"/>
        </w:rPr>
        <w:t>鼓励医疗机构根据国家或者本省名中医经多年临床使用且疗效确切的方剂或者经典名方研究配制中药制剂，促进中医药传承。</w:t>
      </w:r>
    </w:p>
    <w:p>
      <w:pPr>
        <w:spacing w:line="570" w:lineRule="exact"/>
        <w:ind w:firstLine="640" w:firstLineChars="200"/>
        <w:rPr>
          <w:rFonts w:hint="eastAsia" w:ascii="仿宋_GB2312" w:hAnsi="仿宋_GB2312" w:eastAsia="仿宋" w:cs="仿宋_GB2312"/>
          <w:color w:val="auto"/>
          <w:sz w:val="32"/>
          <w:szCs w:val="36"/>
          <w:highlight w:val="none"/>
          <w:u w:val="none"/>
        </w:rPr>
      </w:pPr>
      <w:r>
        <w:rPr>
          <w:rFonts w:hint="eastAsia" w:ascii="黑体" w:hAnsi="黑体" w:eastAsia="黑体" w:cs="黑体"/>
          <w:color w:val="auto"/>
          <w:sz w:val="32"/>
          <w:szCs w:val="36"/>
          <w:highlight w:val="none"/>
          <w:u w:val="none"/>
          <w:lang w:eastAsia="zh-CN"/>
        </w:rPr>
        <w:t>第三十条</w:t>
      </w:r>
      <w:r>
        <w:rPr>
          <w:rFonts w:hint="eastAsia" w:ascii="黑体" w:hAnsi="黑体" w:eastAsia="黑体" w:cs="黑体"/>
          <w:color w:val="auto"/>
          <w:sz w:val="32"/>
          <w:szCs w:val="36"/>
          <w:highlight w:val="none"/>
          <w:u w:val="none"/>
          <w:lang w:val="en-US" w:eastAsia="zh-CN"/>
        </w:rPr>
        <w:t xml:space="preserve">  </w:t>
      </w:r>
      <w:r>
        <w:rPr>
          <w:rFonts w:hint="eastAsia" w:ascii="仿宋" w:hAnsi="仿宋" w:eastAsia="仿宋_GB2312" w:cs="仿宋_GB2312"/>
          <w:b w:val="0"/>
          <w:bCs/>
          <w:i w:val="0"/>
          <w:color w:val="auto"/>
          <w:kern w:val="0"/>
          <w:sz w:val="32"/>
          <w:szCs w:val="24"/>
          <w:lang w:eastAsia="zh-CN"/>
        </w:rPr>
        <w:t>鼓励医疗机构根据本医疗机构临床用药需要配制和使用中药制剂，支持应用传统工艺配制中药制剂，支持以中药制剂为基础研制中药新药，促进中医药发展。</w:t>
      </w:r>
    </w:p>
    <w:p>
      <w:pPr>
        <w:pStyle w:val="2"/>
        <w:rPr>
          <w:rFonts w:hint="eastAsia"/>
        </w:rPr>
      </w:pPr>
    </w:p>
    <w:p>
      <w:pPr>
        <w:pStyle w:val="2"/>
        <w:ind w:left="0" w:leftChars="0" w:firstLine="0" w:firstLineChars="0"/>
        <w:jc w:val="center"/>
        <w:rPr>
          <w:rFonts w:hint="eastAsia" w:ascii="黑体" w:hAnsi="黑体" w:eastAsia="黑体" w:cs="黑体"/>
          <w:szCs w:val="20"/>
          <w:lang w:eastAsia="zh-CN"/>
        </w:rPr>
      </w:pPr>
      <w:r>
        <w:rPr>
          <w:rFonts w:hint="eastAsia" w:ascii="黑体" w:hAnsi="黑体" w:eastAsia="黑体" w:cs="黑体"/>
          <w:szCs w:val="20"/>
          <w:lang w:eastAsia="zh-CN"/>
        </w:rPr>
        <w:t>第四章  药品广告和价格</w:t>
      </w:r>
    </w:p>
    <w:p>
      <w:pPr>
        <w:pStyle w:val="2"/>
        <w:ind w:left="0" w:leftChars="0" w:firstLine="0" w:firstLineChars="0"/>
        <w:jc w:val="center"/>
        <w:rPr>
          <w:rFonts w:hint="eastAsia" w:ascii="黑体" w:hAnsi="黑体" w:eastAsia="黑体" w:cs="黑体"/>
          <w:szCs w:val="20"/>
          <w:lang w:eastAsia="zh-CN"/>
        </w:rPr>
      </w:pPr>
    </w:p>
    <w:p>
      <w:pPr>
        <w:spacing w:line="570" w:lineRule="exact"/>
        <w:ind w:firstLine="640" w:firstLineChars="200"/>
        <w:rPr>
          <w:rFonts w:hint="eastAsia" w:ascii="仿宋" w:hAnsi="仿宋" w:eastAsia="仿宋_GB2312" w:cs="仿宋_GB2312"/>
          <w:b w:val="0"/>
          <w:bCs/>
          <w:i w:val="0"/>
          <w:color w:val="auto"/>
          <w:kern w:val="0"/>
          <w:sz w:val="32"/>
          <w:szCs w:val="24"/>
          <w:lang w:eastAsia="zh-CN"/>
        </w:rPr>
      </w:pPr>
      <w:r>
        <w:rPr>
          <w:rFonts w:hint="eastAsia" w:ascii="黑体" w:hAnsi="仿宋_GB2312" w:eastAsia="黑体" w:cs="仿宋_GB2312"/>
          <w:color w:val="auto"/>
          <w:sz w:val="32"/>
          <w:szCs w:val="36"/>
          <w:highlight w:val="none"/>
          <w:u w:val="none"/>
          <w:lang w:eastAsia="zh-CN"/>
        </w:rPr>
        <w:t>第三十一条</w:t>
      </w:r>
      <w:r>
        <w:rPr>
          <w:rFonts w:hint="eastAsia" w:ascii="黑体" w:hAnsi="仿宋_GB2312" w:eastAsia="黑体" w:cs="仿宋_GB2312"/>
          <w:color w:val="auto"/>
          <w:sz w:val="32"/>
          <w:szCs w:val="36"/>
          <w:highlight w:val="none"/>
          <w:u w:val="none"/>
          <w:lang w:val="en-US" w:eastAsia="zh-CN"/>
        </w:rPr>
        <w:t xml:space="preserve"> </w:t>
      </w:r>
      <w:r>
        <w:rPr>
          <w:rFonts w:hint="eastAsia" w:ascii="黑体" w:hAnsi="仿宋_GB2312" w:eastAsia="黑体" w:cs="仿宋_GB2312"/>
          <w:color w:val="auto"/>
          <w:sz w:val="32"/>
          <w:szCs w:val="36"/>
          <w:highlight w:val="none"/>
          <w:u w:val="none"/>
        </w:rPr>
        <w:t xml:space="preserve"> </w:t>
      </w:r>
      <w:r>
        <w:rPr>
          <w:rFonts w:hint="eastAsia" w:ascii="仿宋" w:hAnsi="仿宋" w:eastAsia="仿宋_GB2312" w:cs="仿宋_GB2312"/>
          <w:b w:val="0"/>
          <w:bCs/>
          <w:i w:val="0"/>
          <w:color w:val="auto"/>
          <w:kern w:val="0"/>
          <w:sz w:val="32"/>
          <w:szCs w:val="24"/>
          <w:lang w:eastAsia="zh-CN"/>
        </w:rPr>
        <w:t>本省药品上市许可持有人、药品生产企业、药品经营企业发布药品广告，应当经省人民政府市场监督管理部门批准。</w:t>
      </w:r>
    </w:p>
    <w:p>
      <w:pPr>
        <w:spacing w:line="570" w:lineRule="exact"/>
        <w:ind w:firstLine="640" w:firstLineChars="200"/>
        <w:rPr>
          <w:rFonts w:hint="eastAsia" w:ascii="仿宋_GB2312" w:hAnsi="仿宋_GB2312" w:eastAsia="仿宋" w:cs="仿宋_GB2312"/>
          <w:color w:val="auto"/>
          <w:sz w:val="32"/>
          <w:szCs w:val="36"/>
          <w:highlight w:val="none"/>
          <w:u w:val="none"/>
          <w:lang w:eastAsia="zh-CN"/>
        </w:rPr>
      </w:pPr>
      <w:r>
        <w:rPr>
          <w:rFonts w:hint="eastAsia" w:ascii="仿宋" w:hAnsi="仿宋" w:eastAsia="仿宋_GB2312" w:cs="仿宋_GB2312"/>
          <w:b w:val="0"/>
          <w:bCs/>
          <w:i w:val="0"/>
          <w:color w:val="auto"/>
          <w:kern w:val="0"/>
          <w:sz w:val="32"/>
          <w:szCs w:val="24"/>
          <w:lang w:eastAsia="zh-CN"/>
        </w:rPr>
        <w:t>药品经营企业作为申请人申请广告批准文号的，必须征得药品生产企业的同意。</w:t>
      </w:r>
    </w:p>
    <w:p>
      <w:pPr>
        <w:spacing w:line="570" w:lineRule="exact"/>
        <w:ind w:firstLine="640" w:firstLineChars="200"/>
        <w:rPr>
          <w:rFonts w:hint="eastAsia" w:ascii="仿宋_GB2312" w:hAnsi="仿宋_GB2312" w:eastAsia="仿宋" w:cs="仿宋_GB2312"/>
          <w:color w:val="auto"/>
          <w:sz w:val="32"/>
          <w:szCs w:val="36"/>
          <w:highlight w:val="none"/>
          <w:u w:val="none"/>
        </w:rPr>
      </w:pPr>
      <w:r>
        <w:rPr>
          <w:rFonts w:hint="eastAsia" w:ascii="黑体" w:hAnsi="仿宋_GB2312" w:eastAsia="黑体" w:cs="仿宋_GB2312"/>
          <w:color w:val="auto"/>
          <w:sz w:val="32"/>
          <w:szCs w:val="36"/>
          <w:highlight w:val="none"/>
          <w:u w:val="none"/>
          <w:lang w:eastAsia="zh-CN"/>
        </w:rPr>
        <w:t>第三十二条</w:t>
      </w:r>
      <w:r>
        <w:rPr>
          <w:rFonts w:hint="eastAsia" w:ascii="黑体" w:hAnsi="仿宋_GB2312" w:eastAsia="黑体" w:cs="仿宋_GB2312"/>
          <w:color w:val="auto"/>
          <w:sz w:val="32"/>
          <w:szCs w:val="36"/>
          <w:highlight w:val="none"/>
          <w:u w:val="none"/>
          <w:lang w:val="en-US" w:eastAsia="zh-CN"/>
        </w:rPr>
        <w:t xml:space="preserve"> </w:t>
      </w:r>
      <w:r>
        <w:rPr>
          <w:rFonts w:hint="eastAsia" w:ascii="黑体" w:hAnsi="仿宋_GB2312" w:eastAsia="黑体" w:cs="仿宋_GB2312"/>
          <w:color w:val="auto"/>
          <w:sz w:val="32"/>
          <w:szCs w:val="36"/>
          <w:highlight w:val="none"/>
          <w:u w:val="none"/>
        </w:rPr>
        <w:t xml:space="preserve"> </w:t>
      </w:r>
      <w:r>
        <w:rPr>
          <w:rFonts w:hint="eastAsia" w:ascii="仿宋" w:hAnsi="仿宋" w:eastAsia="仿宋_GB2312" w:cs="仿宋_GB2312"/>
          <w:b w:val="0"/>
          <w:bCs/>
          <w:i w:val="0"/>
          <w:color w:val="auto"/>
          <w:kern w:val="0"/>
          <w:sz w:val="32"/>
          <w:szCs w:val="24"/>
          <w:lang w:eastAsia="zh-CN"/>
        </w:rPr>
        <w:t>药品广告的内容应当真实、合法，药品广告以及有关宣传资料，所标明的适应症或者功能主治不得超出国家药品标准和国务院药品监督管理部门核准的药品说明书的范围。</w:t>
      </w:r>
    </w:p>
    <w:p>
      <w:pPr>
        <w:spacing w:line="570" w:lineRule="exact"/>
        <w:ind w:firstLine="640" w:firstLineChars="200"/>
        <w:rPr>
          <w:rFonts w:hint="eastAsia" w:ascii="仿宋" w:hAnsi="仿宋" w:eastAsia="仿宋_GB2312" w:cs="仿宋_GB2312"/>
          <w:b w:val="0"/>
          <w:bCs/>
          <w:i w:val="0"/>
          <w:color w:val="auto"/>
          <w:kern w:val="0"/>
          <w:sz w:val="32"/>
          <w:szCs w:val="24"/>
          <w:lang w:eastAsia="zh-CN"/>
        </w:rPr>
      </w:pPr>
      <w:r>
        <w:rPr>
          <w:rFonts w:hint="eastAsia" w:ascii="黑体" w:hAnsi="黑体" w:eastAsia="黑体" w:cs="黑体"/>
          <w:color w:val="auto"/>
          <w:sz w:val="32"/>
          <w:szCs w:val="36"/>
          <w:highlight w:val="none"/>
          <w:u w:val="none"/>
          <w:lang w:eastAsia="zh-CN"/>
        </w:rPr>
        <w:t>第三十三条</w:t>
      </w:r>
      <w:r>
        <w:rPr>
          <w:rFonts w:hint="eastAsia" w:ascii="黑体" w:hAnsi="黑体" w:eastAsia="黑体" w:cs="黑体"/>
          <w:color w:val="auto"/>
          <w:sz w:val="32"/>
          <w:szCs w:val="36"/>
          <w:highlight w:val="none"/>
          <w:u w:val="none"/>
        </w:rPr>
        <w:t xml:space="preserve"> </w:t>
      </w:r>
      <w:r>
        <w:rPr>
          <w:rFonts w:hint="eastAsia" w:ascii="黑体" w:hAnsi="黑体" w:eastAsia="黑体" w:cs="黑体"/>
          <w:color w:val="auto"/>
          <w:sz w:val="32"/>
          <w:szCs w:val="36"/>
          <w:highlight w:val="none"/>
          <w:u w:val="none"/>
          <w:lang w:val="en-US" w:eastAsia="zh-CN"/>
        </w:rPr>
        <w:t xml:space="preserve"> </w:t>
      </w:r>
      <w:r>
        <w:rPr>
          <w:rFonts w:hint="eastAsia" w:ascii="仿宋" w:hAnsi="仿宋" w:eastAsia="仿宋_GB2312" w:cs="仿宋_GB2312"/>
          <w:b w:val="0"/>
          <w:bCs/>
          <w:i w:val="0"/>
          <w:color w:val="auto"/>
          <w:kern w:val="0"/>
          <w:sz w:val="32"/>
          <w:szCs w:val="24"/>
          <w:lang w:eastAsia="zh-CN"/>
        </w:rPr>
        <w:t>非药品广告以及非药品的标签、说明书、包装和有关宣传资料，不得有涉及药品的宣传。</w:t>
      </w:r>
    </w:p>
    <w:p>
      <w:pPr>
        <w:spacing w:line="570" w:lineRule="exact"/>
        <w:ind w:firstLine="640" w:firstLineChars="200"/>
        <w:rPr>
          <w:rFonts w:hint="eastAsia" w:ascii="仿宋" w:hAnsi="仿宋" w:eastAsia="仿宋_GB2312" w:cs="仿宋_GB2312"/>
          <w:b w:val="0"/>
          <w:bCs/>
          <w:i w:val="0"/>
          <w:color w:val="auto"/>
          <w:kern w:val="0"/>
          <w:sz w:val="32"/>
          <w:szCs w:val="24"/>
          <w:lang w:eastAsia="zh-CN"/>
        </w:rPr>
      </w:pPr>
      <w:r>
        <w:rPr>
          <w:rFonts w:hint="eastAsia" w:ascii="黑体" w:hAnsi="仿宋_GB2312" w:eastAsia="黑体" w:cs="仿宋_GB2312"/>
          <w:color w:val="auto"/>
          <w:sz w:val="32"/>
          <w:szCs w:val="36"/>
          <w:highlight w:val="none"/>
          <w:u w:val="none"/>
          <w:lang w:eastAsia="zh-CN"/>
        </w:rPr>
        <w:t>第三十四条</w:t>
      </w:r>
      <w:r>
        <w:rPr>
          <w:rFonts w:hint="eastAsia" w:ascii="黑体" w:hAnsi="仿宋_GB2312" w:eastAsia="黑体" w:cs="仿宋_GB2312"/>
          <w:color w:val="auto"/>
          <w:sz w:val="32"/>
          <w:szCs w:val="36"/>
          <w:highlight w:val="none"/>
          <w:u w:val="none"/>
        </w:rPr>
        <w:t xml:space="preserve"> </w:t>
      </w:r>
      <w:r>
        <w:rPr>
          <w:rFonts w:hint="eastAsia" w:ascii="黑体" w:hAnsi="仿宋_GB2312" w:eastAsia="黑体" w:cs="仿宋_GB2312"/>
          <w:color w:val="auto"/>
          <w:sz w:val="32"/>
          <w:szCs w:val="36"/>
          <w:highlight w:val="none"/>
          <w:u w:val="none"/>
          <w:lang w:val="en-US" w:eastAsia="zh-CN"/>
        </w:rPr>
        <w:t xml:space="preserve"> </w:t>
      </w:r>
      <w:r>
        <w:rPr>
          <w:rFonts w:hint="eastAsia" w:ascii="仿宋" w:hAnsi="仿宋" w:eastAsia="仿宋_GB2312" w:cs="仿宋_GB2312"/>
          <w:b w:val="0"/>
          <w:bCs/>
          <w:i w:val="0"/>
          <w:color w:val="auto"/>
          <w:kern w:val="0"/>
          <w:sz w:val="32"/>
          <w:szCs w:val="24"/>
          <w:lang w:eastAsia="zh-CN"/>
        </w:rPr>
        <w:t>依法实行市场调节价的药品，药品上市许可持有人、药品生产企业、药品经营企业和医疗机构应当按照公平、合理和诚实守信、质价相符的原则制定价格，为用药者提供价格合理的药品。</w:t>
      </w:r>
    </w:p>
    <w:p>
      <w:pPr>
        <w:spacing w:line="570" w:lineRule="exact"/>
        <w:ind w:firstLine="640" w:firstLineChars="200"/>
        <w:rPr>
          <w:rFonts w:hint="eastAsia" w:ascii="仿宋" w:hAnsi="仿宋" w:eastAsia="仿宋_GB2312" w:cs="仿宋_GB2312"/>
          <w:b w:val="0"/>
          <w:bCs/>
          <w:i w:val="0"/>
          <w:color w:val="auto"/>
          <w:kern w:val="0"/>
          <w:sz w:val="32"/>
          <w:szCs w:val="24"/>
          <w:lang w:eastAsia="zh-CN"/>
        </w:rPr>
      </w:pPr>
      <w:r>
        <w:rPr>
          <w:rFonts w:hint="eastAsia" w:ascii="仿宋" w:hAnsi="仿宋" w:eastAsia="仿宋_GB2312" w:cs="仿宋_GB2312"/>
          <w:b w:val="0"/>
          <w:bCs/>
          <w:i w:val="0"/>
          <w:color w:val="auto"/>
          <w:kern w:val="0"/>
          <w:sz w:val="32"/>
          <w:szCs w:val="24"/>
          <w:lang w:eastAsia="zh-CN"/>
        </w:rPr>
        <w:t>药品上市许可持有人、药品生产企业、药品经营企业和医疗机构应当遵守国家关于药品价格管理的规定，制定和标明药品零售价格。</w:t>
      </w:r>
    </w:p>
    <w:p>
      <w:pPr>
        <w:spacing w:line="570" w:lineRule="exact"/>
        <w:ind w:firstLine="640" w:firstLineChars="200"/>
        <w:rPr>
          <w:rFonts w:hint="eastAsia" w:ascii="仿宋" w:hAnsi="仿宋" w:eastAsia="仿宋_GB2312" w:cs="仿宋_GB2312"/>
          <w:b w:val="0"/>
          <w:bCs/>
          <w:i w:val="0"/>
          <w:color w:val="auto"/>
          <w:kern w:val="0"/>
          <w:sz w:val="32"/>
          <w:szCs w:val="24"/>
          <w:lang w:eastAsia="zh-CN"/>
        </w:rPr>
      </w:pPr>
      <w:r>
        <w:rPr>
          <w:rFonts w:hint="eastAsia" w:ascii="仿宋" w:hAnsi="仿宋" w:eastAsia="仿宋_GB2312" w:cs="仿宋_GB2312"/>
          <w:b w:val="0"/>
          <w:bCs/>
          <w:i w:val="0"/>
          <w:color w:val="auto"/>
          <w:kern w:val="0"/>
          <w:sz w:val="32"/>
          <w:szCs w:val="24"/>
          <w:lang w:eastAsia="zh-CN"/>
        </w:rPr>
        <w:t>禁止暴利、价格垄断和价格欺诈等行为。</w:t>
      </w:r>
    </w:p>
    <w:p>
      <w:pPr>
        <w:pStyle w:val="2"/>
        <w:rPr>
          <w:rFonts w:hint="eastAsia"/>
          <w:lang w:eastAsia="zh-CN"/>
        </w:rPr>
      </w:pPr>
    </w:p>
    <w:p>
      <w:pPr>
        <w:pStyle w:val="2"/>
        <w:ind w:left="0" w:leftChars="0" w:firstLine="0" w:firstLineChars="0"/>
        <w:jc w:val="center"/>
        <w:rPr>
          <w:rFonts w:hint="eastAsia" w:ascii="黑体" w:hAnsi="黑体" w:eastAsia="黑体" w:cs="黑体"/>
          <w:szCs w:val="20"/>
          <w:lang w:eastAsia="zh-CN"/>
        </w:rPr>
      </w:pPr>
      <w:r>
        <w:rPr>
          <w:rFonts w:hint="eastAsia" w:ascii="黑体" w:hAnsi="黑体" w:eastAsia="黑体" w:cs="黑体"/>
          <w:szCs w:val="20"/>
          <w:lang w:eastAsia="zh-CN"/>
        </w:rPr>
        <w:t>第五章  药品监督和检查</w:t>
      </w:r>
    </w:p>
    <w:p>
      <w:pPr>
        <w:pStyle w:val="2"/>
        <w:ind w:left="0" w:leftChars="0" w:firstLine="0" w:firstLineChars="0"/>
        <w:jc w:val="center"/>
        <w:rPr>
          <w:rFonts w:hint="eastAsia" w:ascii="黑体" w:hAnsi="黑体" w:eastAsia="黑体" w:cs="黑体"/>
          <w:szCs w:val="20"/>
          <w:lang w:eastAsia="zh-CN"/>
        </w:rPr>
      </w:pPr>
    </w:p>
    <w:p>
      <w:pPr>
        <w:spacing w:line="570" w:lineRule="exact"/>
        <w:ind w:firstLine="640" w:firstLineChars="200"/>
        <w:rPr>
          <w:rFonts w:hint="eastAsia" w:ascii="仿宋" w:hAnsi="仿宋" w:eastAsia="仿宋_GB2312" w:cs="仿宋_GB2312"/>
          <w:b w:val="0"/>
          <w:bCs/>
          <w:i w:val="0"/>
          <w:color w:val="auto"/>
          <w:kern w:val="0"/>
          <w:sz w:val="32"/>
          <w:szCs w:val="24"/>
          <w:lang w:eastAsia="zh-CN"/>
        </w:rPr>
      </w:pPr>
      <w:r>
        <w:rPr>
          <w:rFonts w:hint="eastAsia" w:ascii="黑体" w:hAnsi="仿宋_GB2312" w:eastAsia="黑体" w:cs="仿宋_GB2312"/>
          <w:color w:val="auto"/>
          <w:sz w:val="32"/>
          <w:szCs w:val="36"/>
          <w:highlight w:val="none"/>
          <w:u w:val="none"/>
          <w:lang w:val="en-US" w:eastAsia="zh-CN"/>
        </w:rPr>
        <w:t xml:space="preserve">第三十五条  </w:t>
      </w:r>
      <w:r>
        <w:rPr>
          <w:rFonts w:hint="eastAsia" w:ascii="仿宋" w:hAnsi="仿宋" w:eastAsia="仿宋_GB2312" w:cs="仿宋_GB2312"/>
          <w:b w:val="0"/>
          <w:bCs/>
          <w:i w:val="0"/>
          <w:color w:val="auto"/>
          <w:kern w:val="0"/>
          <w:sz w:val="32"/>
          <w:szCs w:val="24"/>
          <w:lang w:eastAsia="zh-CN"/>
        </w:rPr>
        <w:t>药品监督管理部门应当根据本辖区内药品研制、生产、经营和使用环节的药品质量状况和风险控制需要，依法制定年度药品监督管理计划，并组织实施。</w:t>
      </w:r>
    </w:p>
    <w:p>
      <w:pPr>
        <w:spacing w:line="570" w:lineRule="exact"/>
        <w:ind w:firstLine="640" w:firstLineChars="200"/>
        <w:rPr>
          <w:rFonts w:hint="eastAsia" w:ascii="仿宋" w:hAnsi="仿宋" w:eastAsia="仿宋_GB2312" w:cs="仿宋_GB2312"/>
          <w:b w:val="0"/>
          <w:bCs/>
          <w:i w:val="0"/>
          <w:color w:val="auto"/>
          <w:kern w:val="0"/>
          <w:sz w:val="32"/>
          <w:szCs w:val="24"/>
          <w:lang w:eastAsia="zh-CN"/>
        </w:rPr>
      </w:pPr>
      <w:r>
        <w:rPr>
          <w:rFonts w:hint="eastAsia" w:ascii="黑体" w:hAnsi="仿宋_GB2312" w:eastAsia="黑体" w:cs="仿宋_GB2312"/>
          <w:color w:val="auto"/>
          <w:sz w:val="32"/>
          <w:szCs w:val="36"/>
          <w:highlight w:val="none"/>
          <w:u w:val="none"/>
          <w:lang w:val="en-US" w:eastAsia="zh-CN"/>
        </w:rPr>
        <w:t>第三十六条</w:t>
      </w:r>
      <w:r>
        <w:rPr>
          <w:rFonts w:hint="eastAsia" w:ascii="黑体" w:hAnsi="仿宋_GB2312" w:eastAsia="黑体" w:cs="仿宋_GB2312"/>
          <w:color w:val="auto"/>
          <w:sz w:val="32"/>
          <w:szCs w:val="36"/>
          <w:highlight w:val="none"/>
          <w:u w:val="none"/>
        </w:rPr>
        <w:t xml:space="preserve"> </w:t>
      </w:r>
      <w:r>
        <w:rPr>
          <w:rFonts w:hint="eastAsia" w:ascii="黑体" w:hAnsi="仿宋_GB2312" w:eastAsia="黑体" w:cs="仿宋_GB2312"/>
          <w:color w:val="auto"/>
          <w:sz w:val="32"/>
          <w:szCs w:val="36"/>
          <w:highlight w:val="none"/>
          <w:u w:val="none"/>
          <w:lang w:val="en-US" w:eastAsia="zh-CN"/>
        </w:rPr>
        <w:t xml:space="preserve"> </w:t>
      </w:r>
      <w:r>
        <w:rPr>
          <w:rFonts w:hint="eastAsia" w:ascii="仿宋" w:hAnsi="仿宋" w:eastAsia="仿宋_GB2312" w:cs="仿宋_GB2312"/>
          <w:b w:val="0"/>
          <w:bCs/>
          <w:i w:val="0"/>
          <w:color w:val="auto"/>
          <w:kern w:val="0"/>
          <w:sz w:val="32"/>
          <w:szCs w:val="24"/>
          <w:lang w:eastAsia="zh-CN"/>
        </w:rPr>
        <w:t>药品监督管理部门依法对药品研制、生产、经营和药品使用单位使用药品等活动进行监督检查，或者在发生疫情、重大质量事件等专项检查中发现涉嫌违法等行为的，可以对为药品研制、生产、经营、使用提供产品或者服务的单位和个人以及药品流向的单位和个人进行延伸检查或者调查取证。有关单位和个人应当予以配合，不得拒绝和隐瞒。</w:t>
      </w:r>
    </w:p>
    <w:p>
      <w:pPr>
        <w:spacing w:line="570" w:lineRule="exact"/>
        <w:ind w:firstLine="640" w:firstLineChars="200"/>
        <w:rPr>
          <w:rFonts w:hint="eastAsia" w:ascii="仿宋" w:hAnsi="仿宋" w:eastAsia="仿宋_GB2312" w:cs="仿宋_GB2312"/>
          <w:b w:val="0"/>
          <w:bCs/>
          <w:i w:val="0"/>
          <w:color w:val="auto"/>
          <w:kern w:val="0"/>
          <w:sz w:val="32"/>
          <w:szCs w:val="24"/>
          <w:lang w:eastAsia="zh-CN"/>
        </w:rPr>
      </w:pPr>
      <w:r>
        <w:rPr>
          <w:rFonts w:hint="eastAsia" w:ascii="黑体" w:hAnsi="仿宋_GB2312" w:eastAsia="黑体" w:cs="仿宋_GB2312"/>
          <w:color w:val="auto"/>
          <w:sz w:val="32"/>
          <w:szCs w:val="36"/>
          <w:highlight w:val="none"/>
          <w:u w:val="none"/>
        </w:rPr>
        <w:t>第三十七条</w:t>
      </w:r>
      <w:r>
        <w:rPr>
          <w:rFonts w:hint="eastAsia" w:ascii="黑体" w:hAnsi="仿宋_GB2312" w:eastAsia="黑体" w:cs="仿宋_GB2312"/>
          <w:color w:val="auto"/>
          <w:sz w:val="32"/>
          <w:szCs w:val="36"/>
          <w:highlight w:val="none"/>
          <w:u w:val="none"/>
          <w:lang w:val="en-US" w:eastAsia="zh-CN"/>
        </w:rPr>
        <w:t xml:space="preserve"> </w:t>
      </w:r>
      <w:r>
        <w:rPr>
          <w:rFonts w:hint="eastAsia" w:ascii="黑体" w:hAnsi="仿宋_GB2312" w:eastAsia="黑体" w:cs="仿宋_GB2312"/>
          <w:color w:val="auto"/>
          <w:sz w:val="32"/>
          <w:szCs w:val="36"/>
          <w:highlight w:val="none"/>
          <w:u w:val="none"/>
        </w:rPr>
        <w:t xml:space="preserve"> </w:t>
      </w:r>
      <w:r>
        <w:rPr>
          <w:rFonts w:hint="eastAsia" w:ascii="仿宋" w:hAnsi="仿宋" w:eastAsia="仿宋_GB2312" w:cs="仿宋_GB2312"/>
          <w:b w:val="0"/>
          <w:bCs/>
          <w:i w:val="0"/>
          <w:color w:val="auto"/>
          <w:kern w:val="0"/>
          <w:sz w:val="32"/>
          <w:szCs w:val="24"/>
          <w:lang w:eastAsia="zh-CN"/>
        </w:rPr>
        <w:t>对有证据证明可能存在安全隐患的药品生产、经营和药品使用单位使用药品等活动，药品监督管理部门根据监督检查情况应当采取告诫、约谈、限期整改以及暂停生产、销售、使用、进口等措施，并及时公布检查处理结果。</w:t>
      </w:r>
    </w:p>
    <w:p>
      <w:pPr>
        <w:spacing w:line="570" w:lineRule="exact"/>
        <w:ind w:firstLine="640" w:firstLineChars="200"/>
        <w:rPr>
          <w:rFonts w:hint="eastAsia" w:ascii="仿宋" w:hAnsi="仿宋" w:eastAsia="仿宋_GB2312" w:cs="仿宋_GB2312"/>
          <w:b w:val="0"/>
          <w:bCs/>
          <w:i w:val="0"/>
          <w:color w:val="auto"/>
          <w:kern w:val="0"/>
          <w:sz w:val="32"/>
          <w:szCs w:val="24"/>
          <w:lang w:val="en-US" w:eastAsia="zh-CN"/>
        </w:rPr>
      </w:pPr>
      <w:r>
        <w:rPr>
          <w:rFonts w:hint="eastAsia" w:ascii="仿宋" w:hAnsi="仿宋" w:eastAsia="仿宋_GB2312" w:cs="仿宋_GB2312"/>
          <w:b w:val="0"/>
          <w:bCs/>
          <w:i w:val="0"/>
          <w:color w:val="auto"/>
          <w:kern w:val="0"/>
          <w:sz w:val="32"/>
          <w:szCs w:val="24"/>
          <w:lang w:val="en-US" w:eastAsia="zh-CN"/>
        </w:rPr>
        <w:t>药品监督管理部门依法采取暂停生产、销售、使用、进口等措施，当事人对安全隐患进行排查、整改后，提出恢复生产、销售、使用、进口申请的，药品监督管理部门应当在七个工作日内进行检查，</w:t>
      </w:r>
      <w:r>
        <w:rPr>
          <w:rFonts w:hint="default" w:ascii="仿宋" w:hAnsi="仿宋" w:eastAsia="仿宋_GB2312" w:cs="仿宋_GB2312"/>
          <w:b w:val="0"/>
          <w:bCs/>
          <w:i w:val="0"/>
          <w:color w:val="auto"/>
          <w:kern w:val="0"/>
          <w:sz w:val="32"/>
          <w:szCs w:val="24"/>
          <w:lang w:val="en-US" w:eastAsia="zh-CN"/>
        </w:rPr>
        <w:t>安全隐患确已消除的，</w:t>
      </w:r>
      <w:r>
        <w:rPr>
          <w:rFonts w:hint="eastAsia" w:ascii="仿宋" w:hAnsi="仿宋" w:eastAsia="仿宋_GB2312" w:cs="仿宋_GB2312"/>
          <w:b w:val="0"/>
          <w:bCs/>
          <w:i w:val="0"/>
          <w:color w:val="auto"/>
          <w:kern w:val="0"/>
          <w:sz w:val="32"/>
          <w:szCs w:val="24"/>
          <w:lang w:val="en-US" w:eastAsia="zh-CN"/>
        </w:rPr>
        <w:t>应当告知当事人恢复生产、销售、使用、进口等活动。</w:t>
      </w:r>
    </w:p>
    <w:p>
      <w:pPr>
        <w:spacing w:line="570" w:lineRule="exact"/>
        <w:ind w:firstLine="640" w:firstLineChars="200"/>
        <w:rPr>
          <w:rFonts w:hint="eastAsia" w:ascii="仿宋" w:hAnsi="仿宋" w:eastAsia="仿宋_GB2312" w:cs="仿宋_GB2312"/>
          <w:b w:val="0"/>
          <w:bCs/>
          <w:i w:val="0"/>
          <w:color w:val="auto"/>
          <w:kern w:val="0"/>
          <w:sz w:val="32"/>
          <w:szCs w:val="24"/>
          <w:lang w:eastAsia="zh-CN"/>
        </w:rPr>
      </w:pPr>
      <w:r>
        <w:rPr>
          <w:rFonts w:hint="eastAsia" w:ascii="黑体" w:hAnsi="仿宋_GB2312" w:eastAsia="黑体" w:cs="仿宋_GB2312"/>
          <w:color w:val="auto"/>
          <w:sz w:val="32"/>
          <w:szCs w:val="36"/>
          <w:highlight w:val="none"/>
          <w:u w:val="none"/>
        </w:rPr>
        <w:t xml:space="preserve">第三十八条  </w:t>
      </w:r>
      <w:r>
        <w:rPr>
          <w:rFonts w:hint="eastAsia" w:ascii="仿宋" w:hAnsi="仿宋" w:eastAsia="仿宋_GB2312" w:cs="仿宋_GB2312"/>
          <w:b w:val="0"/>
          <w:bCs/>
          <w:i w:val="0"/>
          <w:color w:val="auto"/>
          <w:kern w:val="0"/>
          <w:sz w:val="32"/>
          <w:szCs w:val="24"/>
          <w:lang w:eastAsia="zh-CN"/>
        </w:rPr>
        <w:t>药品监督管理部门应当根据监督管理的需要，制定药品抽查检验计划，对药品质量进行抽查检验；抽查检验应当按照规定抽样，并不得收取任何费用；抽样应当购买样品，所需费用按照国家规定列支。</w:t>
      </w:r>
    </w:p>
    <w:p>
      <w:pPr>
        <w:spacing w:line="570" w:lineRule="exact"/>
        <w:ind w:firstLine="640" w:firstLineChars="200"/>
        <w:rPr>
          <w:rFonts w:hint="eastAsia" w:ascii="仿宋_GB2312" w:hAnsi="仿宋_GB2312" w:eastAsia="仿宋" w:cs="仿宋_GB2312"/>
          <w:color w:val="auto"/>
          <w:sz w:val="32"/>
          <w:szCs w:val="36"/>
          <w:highlight w:val="none"/>
          <w:u w:val="none"/>
        </w:rPr>
      </w:pPr>
      <w:r>
        <w:rPr>
          <w:rFonts w:hint="eastAsia" w:ascii="仿宋" w:hAnsi="仿宋" w:eastAsia="仿宋_GB2312" w:cs="仿宋_GB2312"/>
          <w:b w:val="0"/>
          <w:bCs/>
          <w:i w:val="0"/>
          <w:color w:val="auto"/>
          <w:kern w:val="0"/>
          <w:sz w:val="32"/>
          <w:szCs w:val="24"/>
          <w:lang w:eastAsia="zh-CN"/>
        </w:rPr>
        <w:t>省人民政府药品监督管理部门应当定期公告药品质量抽查检验结果；公告不当的，应当在原公告范围内予以更正。</w:t>
      </w:r>
    </w:p>
    <w:p>
      <w:pPr>
        <w:spacing w:line="570" w:lineRule="exact"/>
        <w:ind w:firstLine="640" w:firstLineChars="200"/>
        <w:rPr>
          <w:rFonts w:hint="eastAsia" w:ascii="仿宋" w:hAnsi="仿宋" w:eastAsia="仿宋_GB2312" w:cs="仿宋_GB2312"/>
          <w:b w:val="0"/>
          <w:bCs/>
          <w:i w:val="0"/>
          <w:color w:val="auto"/>
          <w:kern w:val="0"/>
          <w:sz w:val="32"/>
          <w:szCs w:val="24"/>
          <w:lang w:eastAsia="zh-CN"/>
        </w:rPr>
      </w:pPr>
      <w:r>
        <w:rPr>
          <w:rFonts w:hint="eastAsia" w:ascii="黑体" w:hAnsi="仿宋_GB2312" w:eastAsia="黑体" w:cs="仿宋_GB2312"/>
          <w:color w:val="auto"/>
          <w:sz w:val="32"/>
          <w:szCs w:val="36"/>
          <w:highlight w:val="none"/>
          <w:u w:val="none"/>
          <w:shd w:val="clear" w:color="auto" w:fill="auto"/>
        </w:rPr>
        <w:t>第三十九条</w:t>
      </w:r>
      <w:r>
        <w:rPr>
          <w:rFonts w:hint="eastAsia" w:ascii="黑体" w:hAnsi="仿宋_GB2312" w:eastAsia="黑体" w:cs="仿宋_GB2312"/>
          <w:color w:val="auto"/>
          <w:sz w:val="32"/>
          <w:szCs w:val="36"/>
          <w:highlight w:val="none"/>
          <w:u w:val="none"/>
          <w:shd w:val="clear" w:color="auto" w:fill="auto"/>
          <w:lang w:val="en-US" w:eastAsia="zh-CN"/>
        </w:rPr>
        <w:t xml:space="preserve">  </w:t>
      </w:r>
      <w:r>
        <w:rPr>
          <w:rFonts w:hint="eastAsia" w:ascii="仿宋" w:hAnsi="仿宋" w:eastAsia="仿宋_GB2312" w:cs="仿宋_GB2312"/>
          <w:b w:val="0"/>
          <w:bCs/>
          <w:i w:val="0"/>
          <w:color w:val="auto"/>
          <w:kern w:val="0"/>
          <w:sz w:val="32"/>
          <w:szCs w:val="24"/>
          <w:lang w:eastAsia="zh-CN"/>
        </w:rPr>
        <w:t>对药品经营企业或者药品使用单位抽样的本省药品上市许可持有人或者药品生产企业生产的药品，经药品检验机构检验不符合药品标准或者规定的，省人民政府药品监督管理部门应当对该药品上市许可持有人或者药品生产企业的排查整改情况进行调查评估。对有证据证明质量问题是由生产环节导致的，应当依法处理。</w:t>
      </w:r>
    </w:p>
    <w:p>
      <w:pPr>
        <w:spacing w:line="570" w:lineRule="exact"/>
        <w:ind w:firstLine="640" w:firstLineChars="200"/>
        <w:rPr>
          <w:rFonts w:hint="eastAsia" w:ascii="仿宋" w:hAnsi="仿宋" w:eastAsia="仿宋_GB2312" w:cs="仿宋_GB2312"/>
          <w:b w:val="0"/>
          <w:bCs/>
          <w:i w:val="0"/>
          <w:color w:val="auto"/>
          <w:kern w:val="0"/>
          <w:sz w:val="32"/>
          <w:szCs w:val="24"/>
          <w:lang w:eastAsia="zh-CN"/>
        </w:rPr>
      </w:pPr>
      <w:r>
        <w:rPr>
          <w:rFonts w:hint="eastAsia" w:ascii="仿宋" w:hAnsi="仿宋" w:eastAsia="仿宋_GB2312" w:cs="仿宋_GB2312"/>
          <w:b w:val="0"/>
          <w:bCs/>
          <w:i w:val="0"/>
          <w:color w:val="auto"/>
          <w:kern w:val="0"/>
          <w:sz w:val="32"/>
          <w:szCs w:val="24"/>
          <w:lang w:eastAsia="zh-CN"/>
        </w:rPr>
        <w:t>被抽样单位为省内药品经营企业或者药品使用单位，且药品质量问题是由生产环节导致的，对被抽样单位以及药品经营企业或者药品使用单位具有管辖权的药品监督管理部门，根据省人民政府药品监督管理部门的通报情况，可以依法减轻或者免除对经营、使用环节的行政处罚。</w:t>
      </w:r>
    </w:p>
    <w:p>
      <w:pPr>
        <w:spacing w:line="570" w:lineRule="exact"/>
        <w:ind w:firstLine="640" w:firstLineChars="200"/>
        <w:rPr>
          <w:rFonts w:hint="eastAsia" w:ascii="仿宋" w:hAnsi="仿宋" w:eastAsia="仿宋_GB2312" w:cs="仿宋_GB2312"/>
          <w:b w:val="0"/>
          <w:bCs/>
          <w:i w:val="0"/>
          <w:color w:val="auto"/>
          <w:kern w:val="0"/>
          <w:sz w:val="32"/>
          <w:szCs w:val="24"/>
          <w:lang w:eastAsia="zh-CN"/>
        </w:rPr>
      </w:pPr>
      <w:r>
        <w:rPr>
          <w:rFonts w:hint="eastAsia" w:ascii="仿宋" w:hAnsi="仿宋" w:eastAsia="仿宋_GB2312" w:cs="仿宋_GB2312"/>
          <w:b w:val="0"/>
          <w:bCs/>
          <w:i w:val="0"/>
          <w:color w:val="auto"/>
          <w:kern w:val="0"/>
          <w:sz w:val="32"/>
          <w:szCs w:val="24"/>
          <w:lang w:eastAsia="zh-CN"/>
        </w:rPr>
        <w:t>被抽样单位为省外药品经营企业或者药品使用单位的，省人民政府药品监督管理部门应当将第一款的调查评估情况，通知被抽样单位所在地省级人民政府药品监督管理部门。</w:t>
      </w:r>
    </w:p>
    <w:p>
      <w:pPr>
        <w:spacing w:line="570" w:lineRule="exact"/>
        <w:ind w:firstLine="640" w:firstLineChars="200"/>
        <w:rPr>
          <w:rFonts w:hint="eastAsia" w:ascii="仿宋" w:hAnsi="仿宋" w:eastAsia="仿宋_GB2312" w:cs="仿宋_GB2312"/>
          <w:b w:val="0"/>
          <w:bCs/>
          <w:i w:val="0"/>
          <w:color w:val="auto"/>
          <w:kern w:val="0"/>
          <w:sz w:val="32"/>
          <w:szCs w:val="24"/>
          <w:lang w:eastAsia="zh-CN"/>
        </w:rPr>
      </w:pPr>
      <w:r>
        <w:rPr>
          <w:rFonts w:hint="eastAsia" w:ascii="黑体" w:hAnsi="黑体" w:eastAsia="黑体" w:cs="黑体"/>
          <w:color w:val="auto"/>
          <w:sz w:val="32"/>
          <w:szCs w:val="36"/>
          <w:highlight w:val="none"/>
          <w:u w:val="none"/>
        </w:rPr>
        <w:t>第四十条</w:t>
      </w:r>
      <w:r>
        <w:rPr>
          <w:rFonts w:hint="eastAsia" w:ascii="黑体" w:hAnsi="黑体" w:eastAsia="黑体" w:cs="黑体"/>
          <w:color w:val="auto"/>
          <w:sz w:val="32"/>
          <w:szCs w:val="36"/>
          <w:highlight w:val="none"/>
          <w:u w:val="none"/>
          <w:lang w:val="en-US" w:eastAsia="zh-CN"/>
        </w:rPr>
        <w:t xml:space="preserve"> </w:t>
      </w:r>
      <w:r>
        <w:rPr>
          <w:rFonts w:hint="eastAsia" w:ascii="黑体" w:hAnsi="仿宋_GB2312" w:eastAsia="黑体" w:cs="仿宋_GB2312"/>
          <w:color w:val="auto"/>
          <w:sz w:val="32"/>
          <w:szCs w:val="36"/>
          <w:highlight w:val="none"/>
          <w:u w:val="none"/>
          <w:shd w:val="clear" w:color="auto" w:fill="auto"/>
          <w:lang w:eastAsia="zh-CN"/>
        </w:rPr>
        <w:t xml:space="preserve"> </w:t>
      </w:r>
      <w:r>
        <w:rPr>
          <w:rFonts w:hint="eastAsia" w:ascii="仿宋" w:hAnsi="仿宋" w:eastAsia="仿宋_GB2312" w:cs="仿宋_GB2312"/>
          <w:b w:val="0"/>
          <w:bCs/>
          <w:i w:val="0"/>
          <w:color w:val="auto"/>
          <w:kern w:val="0"/>
          <w:sz w:val="32"/>
          <w:szCs w:val="24"/>
          <w:lang w:eastAsia="zh-CN"/>
        </w:rPr>
        <w:t>对生产、销售、使用假药、劣药行为作出的行政处罚决定，应当依法载明药品检验机构的质量检验结论。但是，属于下列情形的，无需载明药品检验机构的质量检验结论：</w:t>
      </w:r>
    </w:p>
    <w:p>
      <w:pPr>
        <w:spacing w:line="570" w:lineRule="exact"/>
        <w:ind w:firstLine="640" w:firstLineChars="200"/>
        <w:rPr>
          <w:rFonts w:hint="eastAsia" w:ascii="仿宋" w:hAnsi="仿宋" w:eastAsia="仿宋_GB2312" w:cs="仿宋_GB2312"/>
          <w:b w:val="0"/>
          <w:bCs/>
          <w:i w:val="0"/>
          <w:color w:val="auto"/>
          <w:kern w:val="0"/>
          <w:sz w:val="32"/>
          <w:szCs w:val="24"/>
          <w:lang w:eastAsia="zh-CN"/>
        </w:rPr>
      </w:pPr>
      <w:r>
        <w:rPr>
          <w:rFonts w:hint="eastAsia" w:ascii="仿宋" w:hAnsi="仿宋" w:eastAsia="仿宋_GB2312" w:cs="仿宋_GB2312"/>
          <w:b w:val="0"/>
          <w:bCs/>
          <w:i w:val="0"/>
          <w:color w:val="auto"/>
          <w:kern w:val="0"/>
          <w:sz w:val="32"/>
          <w:szCs w:val="24"/>
          <w:lang w:eastAsia="zh-CN"/>
        </w:rPr>
        <w:t>（一）药品所标明的适应症或者功能主治超出规定范围；</w:t>
      </w:r>
    </w:p>
    <w:p>
      <w:pPr>
        <w:spacing w:line="570" w:lineRule="exact"/>
        <w:ind w:firstLine="640" w:firstLineChars="200"/>
        <w:rPr>
          <w:rFonts w:hint="eastAsia" w:ascii="仿宋" w:hAnsi="仿宋" w:eastAsia="仿宋_GB2312" w:cs="仿宋_GB2312"/>
          <w:b w:val="0"/>
          <w:bCs/>
          <w:i w:val="0"/>
          <w:color w:val="auto"/>
          <w:kern w:val="0"/>
          <w:sz w:val="32"/>
          <w:szCs w:val="24"/>
          <w:lang w:eastAsia="zh-CN"/>
        </w:rPr>
      </w:pPr>
      <w:r>
        <w:rPr>
          <w:rFonts w:hint="eastAsia" w:ascii="仿宋" w:hAnsi="仿宋" w:eastAsia="仿宋_GB2312" w:cs="仿宋_GB2312"/>
          <w:b w:val="0"/>
          <w:bCs/>
          <w:i w:val="0"/>
          <w:color w:val="auto"/>
          <w:kern w:val="0"/>
          <w:sz w:val="32"/>
          <w:szCs w:val="24"/>
          <w:lang w:eastAsia="zh-CN"/>
        </w:rPr>
        <w:t>（二）未标明或者更改有效期的药品（不需要标明有效期的中药材、中药饮片除外）；</w:t>
      </w:r>
    </w:p>
    <w:p>
      <w:pPr>
        <w:spacing w:line="570" w:lineRule="exact"/>
        <w:ind w:firstLine="640" w:firstLineChars="200"/>
        <w:rPr>
          <w:rFonts w:hint="eastAsia" w:ascii="仿宋" w:hAnsi="仿宋" w:eastAsia="仿宋_GB2312" w:cs="仿宋_GB2312"/>
          <w:b w:val="0"/>
          <w:bCs/>
          <w:i w:val="0"/>
          <w:color w:val="auto"/>
          <w:kern w:val="0"/>
          <w:sz w:val="32"/>
          <w:szCs w:val="24"/>
          <w:lang w:eastAsia="zh-CN"/>
        </w:rPr>
      </w:pPr>
      <w:r>
        <w:rPr>
          <w:rFonts w:hint="eastAsia" w:ascii="仿宋" w:hAnsi="仿宋" w:eastAsia="仿宋_GB2312" w:cs="仿宋_GB2312"/>
          <w:b w:val="0"/>
          <w:bCs/>
          <w:i w:val="0"/>
          <w:color w:val="auto"/>
          <w:kern w:val="0"/>
          <w:sz w:val="32"/>
          <w:szCs w:val="24"/>
          <w:lang w:eastAsia="zh-CN"/>
        </w:rPr>
        <w:t>（三）未注明或者更改生产批号的药品；</w:t>
      </w:r>
    </w:p>
    <w:p>
      <w:pPr>
        <w:spacing w:line="570" w:lineRule="exact"/>
        <w:ind w:firstLine="640" w:firstLineChars="200"/>
        <w:rPr>
          <w:rFonts w:hint="eastAsia" w:ascii="仿宋" w:hAnsi="仿宋" w:eastAsia="仿宋_GB2312" w:cs="仿宋_GB2312"/>
          <w:b w:val="0"/>
          <w:bCs/>
          <w:i w:val="0"/>
          <w:color w:val="auto"/>
          <w:kern w:val="0"/>
          <w:sz w:val="32"/>
          <w:szCs w:val="24"/>
          <w:lang w:eastAsia="zh-CN"/>
        </w:rPr>
      </w:pPr>
      <w:r>
        <w:rPr>
          <w:rFonts w:hint="eastAsia" w:ascii="仿宋" w:hAnsi="仿宋" w:eastAsia="仿宋_GB2312" w:cs="仿宋_GB2312"/>
          <w:b w:val="0"/>
          <w:bCs/>
          <w:i w:val="0"/>
          <w:color w:val="auto"/>
          <w:kern w:val="0"/>
          <w:sz w:val="32"/>
          <w:szCs w:val="24"/>
          <w:lang w:eastAsia="zh-CN"/>
        </w:rPr>
        <w:t>（四）超过有效期的药品；</w:t>
      </w:r>
    </w:p>
    <w:p>
      <w:pPr>
        <w:spacing w:line="570" w:lineRule="exact"/>
        <w:ind w:firstLine="640" w:firstLineChars="200"/>
        <w:rPr>
          <w:rFonts w:hint="eastAsia" w:ascii="仿宋" w:hAnsi="仿宋" w:eastAsia="仿宋_GB2312" w:cs="仿宋_GB2312"/>
          <w:b w:val="0"/>
          <w:bCs/>
          <w:i w:val="0"/>
          <w:color w:val="auto"/>
          <w:kern w:val="0"/>
          <w:sz w:val="32"/>
          <w:szCs w:val="24"/>
          <w:lang w:eastAsia="zh-CN"/>
        </w:rPr>
      </w:pPr>
      <w:r>
        <w:rPr>
          <w:rFonts w:hint="eastAsia" w:ascii="仿宋" w:hAnsi="仿宋" w:eastAsia="仿宋_GB2312" w:cs="仿宋_GB2312"/>
          <w:b w:val="0"/>
          <w:bCs/>
          <w:i w:val="0"/>
          <w:color w:val="auto"/>
          <w:kern w:val="0"/>
          <w:sz w:val="32"/>
          <w:szCs w:val="24"/>
          <w:lang w:eastAsia="zh-CN"/>
        </w:rPr>
        <w:t>（五）擅自添加防腐剂、辅料的药品；</w:t>
      </w:r>
    </w:p>
    <w:p>
      <w:pPr>
        <w:spacing w:line="570" w:lineRule="exact"/>
        <w:ind w:firstLine="640" w:firstLineChars="200"/>
        <w:rPr>
          <w:rFonts w:hint="eastAsia" w:ascii="仿宋" w:hAnsi="仿宋" w:eastAsia="仿宋_GB2312" w:cs="仿宋_GB2312"/>
          <w:b w:val="0"/>
          <w:bCs/>
          <w:i w:val="0"/>
          <w:color w:val="auto"/>
          <w:kern w:val="0"/>
          <w:sz w:val="32"/>
          <w:szCs w:val="24"/>
          <w:lang w:eastAsia="zh-CN"/>
        </w:rPr>
      </w:pPr>
      <w:r>
        <w:rPr>
          <w:rFonts w:hint="eastAsia" w:ascii="仿宋" w:hAnsi="仿宋" w:eastAsia="仿宋_GB2312" w:cs="仿宋_GB2312"/>
          <w:b w:val="0"/>
          <w:bCs/>
          <w:i w:val="0"/>
          <w:color w:val="auto"/>
          <w:kern w:val="0"/>
          <w:sz w:val="32"/>
          <w:szCs w:val="24"/>
          <w:lang w:eastAsia="zh-CN"/>
        </w:rPr>
        <w:t>（六）其他有充分证据证明为假药或者劣药的。</w:t>
      </w:r>
    </w:p>
    <w:p>
      <w:pPr>
        <w:spacing w:line="570" w:lineRule="exact"/>
        <w:ind w:firstLine="640" w:firstLineChars="200"/>
        <w:rPr>
          <w:rFonts w:hint="eastAsia" w:ascii="仿宋" w:hAnsi="仿宋" w:eastAsia="仿宋_GB2312" w:cs="仿宋_GB2312"/>
          <w:b w:val="0"/>
          <w:bCs/>
          <w:i w:val="0"/>
          <w:color w:val="auto"/>
          <w:kern w:val="0"/>
          <w:sz w:val="32"/>
          <w:szCs w:val="24"/>
          <w:lang w:eastAsia="zh-CN"/>
        </w:rPr>
      </w:pPr>
      <w:r>
        <w:rPr>
          <w:rFonts w:hint="eastAsia" w:ascii="黑体" w:hAnsi="黑体" w:eastAsia="黑体" w:cs="黑体"/>
          <w:color w:val="auto"/>
          <w:sz w:val="32"/>
          <w:szCs w:val="36"/>
          <w:highlight w:val="none"/>
          <w:u w:val="none"/>
          <w:lang w:eastAsia="zh-CN"/>
        </w:rPr>
        <w:t>第四十一条</w:t>
      </w:r>
      <w:r>
        <w:rPr>
          <w:rFonts w:hint="eastAsia" w:ascii="黑体" w:hAnsi="黑体" w:eastAsia="黑体" w:cs="黑体"/>
          <w:color w:val="auto"/>
          <w:sz w:val="32"/>
          <w:szCs w:val="36"/>
          <w:highlight w:val="none"/>
          <w:u w:val="none"/>
          <w:lang w:val="en-US" w:eastAsia="zh-CN"/>
        </w:rPr>
        <w:t xml:space="preserve"> </w:t>
      </w:r>
      <w:r>
        <w:rPr>
          <w:rFonts w:hint="eastAsia" w:ascii="黑体" w:hAnsi="黑体" w:eastAsia="黑体" w:cs="黑体"/>
          <w:color w:val="auto"/>
          <w:sz w:val="32"/>
          <w:szCs w:val="36"/>
          <w:highlight w:val="none"/>
          <w:u w:val="none"/>
        </w:rPr>
        <w:t xml:space="preserve"> </w:t>
      </w:r>
      <w:r>
        <w:rPr>
          <w:rFonts w:hint="eastAsia" w:ascii="仿宋" w:hAnsi="仿宋" w:eastAsia="仿宋_GB2312" w:cs="仿宋_GB2312"/>
          <w:b w:val="0"/>
          <w:bCs/>
          <w:i w:val="0"/>
          <w:color w:val="auto"/>
          <w:kern w:val="0"/>
          <w:sz w:val="32"/>
          <w:szCs w:val="24"/>
          <w:lang w:eastAsia="zh-CN"/>
        </w:rPr>
        <w:t>医疗机构配制制剂有掺杂、掺假嫌疑，药品检验机构使用省人民政府药品监督管理部门批准的检验方法和检验项目不能确定的，可以补充检验方法和检验项目进行检验；经省人民政府药品监督管理部门批准后，使用补充检验方法和检验项目所得出的检验结果，可以作为药品监督管理部门认定制剂质量的依据。</w:t>
      </w:r>
    </w:p>
    <w:p>
      <w:pPr>
        <w:spacing w:line="570" w:lineRule="exact"/>
        <w:ind w:firstLine="640" w:firstLineChars="200"/>
        <w:rPr>
          <w:rFonts w:hint="eastAsia" w:ascii="仿宋" w:hAnsi="仿宋" w:eastAsia="仿宋_GB2312" w:cs="仿宋_GB2312"/>
          <w:b w:val="0"/>
          <w:bCs/>
          <w:i w:val="0"/>
          <w:color w:val="auto"/>
          <w:kern w:val="0"/>
          <w:sz w:val="32"/>
          <w:szCs w:val="24"/>
          <w:lang w:eastAsia="zh-CN"/>
        </w:rPr>
      </w:pPr>
      <w:r>
        <w:rPr>
          <w:rFonts w:hint="eastAsia" w:ascii="黑体" w:hAnsi="仿宋_GB2312" w:eastAsia="黑体" w:cs="仿宋_GB2312"/>
          <w:color w:val="auto"/>
          <w:sz w:val="32"/>
          <w:szCs w:val="36"/>
          <w:highlight w:val="none"/>
          <w:u w:val="none"/>
          <w:lang w:eastAsia="zh-CN"/>
        </w:rPr>
        <w:t>第四十二条</w:t>
      </w:r>
      <w:r>
        <w:rPr>
          <w:rFonts w:hint="eastAsia" w:ascii="黑体" w:hAnsi="仿宋_GB2312" w:eastAsia="黑体" w:cs="仿宋_GB2312"/>
          <w:color w:val="auto"/>
          <w:sz w:val="32"/>
          <w:szCs w:val="36"/>
          <w:highlight w:val="none"/>
          <w:u w:val="none"/>
          <w:lang w:val="en-US" w:eastAsia="zh-CN"/>
        </w:rPr>
        <w:t xml:space="preserve">  </w:t>
      </w:r>
      <w:r>
        <w:rPr>
          <w:rFonts w:hint="eastAsia" w:ascii="仿宋" w:hAnsi="仿宋" w:eastAsia="仿宋_GB2312" w:cs="仿宋_GB2312"/>
          <w:b w:val="0"/>
          <w:bCs/>
          <w:i w:val="0"/>
          <w:color w:val="auto"/>
          <w:kern w:val="0"/>
          <w:sz w:val="32"/>
          <w:szCs w:val="24"/>
          <w:lang w:eastAsia="zh-CN"/>
        </w:rPr>
        <w:t>药品监督管理部门应当建立药品上市许可持有人、药品生产企业、药品经营企业、药物非临床安全性评价研究机构、药物临床试验机构和医疗机构药品安全信用档案，记录许可颁发、日常监督检查结果、违法行为查处等情况，依法向社会公布并及时更新；对有不良信用记录的，增加监督检查频次，并可以按照国家规定实施联合惩戒。</w:t>
      </w:r>
    </w:p>
    <w:p>
      <w:pPr>
        <w:pStyle w:val="2"/>
        <w:rPr>
          <w:rFonts w:hint="eastAsia"/>
        </w:rPr>
      </w:pPr>
    </w:p>
    <w:p>
      <w:pPr>
        <w:pStyle w:val="2"/>
        <w:ind w:left="0" w:leftChars="0" w:firstLine="0" w:firstLineChars="0"/>
        <w:jc w:val="center"/>
        <w:rPr>
          <w:rFonts w:hint="eastAsia" w:ascii="黑体" w:hAnsi="黑体" w:eastAsia="黑体" w:cs="黑体"/>
          <w:szCs w:val="20"/>
          <w:lang w:eastAsia="zh-CN"/>
        </w:rPr>
      </w:pPr>
      <w:r>
        <w:rPr>
          <w:rFonts w:hint="eastAsia" w:ascii="黑体" w:hAnsi="黑体" w:eastAsia="黑体" w:cs="黑体"/>
          <w:szCs w:val="20"/>
          <w:lang w:eastAsia="zh-CN"/>
        </w:rPr>
        <w:t>第六章  法律责任</w:t>
      </w:r>
    </w:p>
    <w:p>
      <w:pPr>
        <w:pStyle w:val="2"/>
        <w:ind w:left="0" w:leftChars="0" w:firstLine="0" w:firstLineChars="0"/>
        <w:jc w:val="center"/>
        <w:rPr>
          <w:rFonts w:hint="eastAsia" w:ascii="黑体" w:hAnsi="黑体" w:eastAsia="黑体" w:cs="黑体"/>
          <w:szCs w:val="20"/>
          <w:lang w:eastAsia="zh-CN"/>
        </w:rPr>
      </w:pPr>
    </w:p>
    <w:p>
      <w:pPr>
        <w:spacing w:line="570" w:lineRule="exact"/>
        <w:ind w:firstLine="640" w:firstLineChars="200"/>
        <w:rPr>
          <w:rFonts w:hint="eastAsia" w:ascii="仿宋" w:hAnsi="仿宋" w:eastAsia="仿宋_GB2312" w:cs="仿宋_GB2312"/>
          <w:b w:val="0"/>
          <w:bCs/>
          <w:i w:val="0"/>
          <w:color w:val="auto"/>
          <w:kern w:val="0"/>
          <w:sz w:val="32"/>
          <w:szCs w:val="24"/>
          <w:lang w:eastAsia="zh-CN"/>
        </w:rPr>
      </w:pPr>
      <w:r>
        <w:rPr>
          <w:rFonts w:hint="eastAsia" w:ascii="黑体" w:hAnsi="仿宋_GB2312" w:eastAsia="黑体" w:cs="仿宋_GB2312"/>
          <w:color w:val="auto"/>
          <w:sz w:val="32"/>
          <w:szCs w:val="36"/>
          <w:u w:val="none"/>
          <w:lang w:eastAsia="zh-CN"/>
        </w:rPr>
        <w:t>第四十三条</w:t>
      </w:r>
      <w:r>
        <w:rPr>
          <w:rFonts w:hint="eastAsia" w:ascii="黑体" w:hAnsi="仿宋_GB2312" w:eastAsia="黑体" w:cs="仿宋_GB2312"/>
          <w:color w:val="auto"/>
          <w:sz w:val="32"/>
          <w:szCs w:val="36"/>
          <w:u w:val="none"/>
        </w:rPr>
        <w:t xml:space="preserve">  </w:t>
      </w:r>
      <w:r>
        <w:rPr>
          <w:rFonts w:hint="eastAsia" w:ascii="仿宋" w:hAnsi="仿宋" w:eastAsia="仿宋_GB2312" w:cs="仿宋_GB2312"/>
          <w:b w:val="0"/>
          <w:bCs/>
          <w:i w:val="0"/>
          <w:color w:val="auto"/>
          <w:kern w:val="0"/>
          <w:sz w:val="32"/>
          <w:szCs w:val="24"/>
          <w:lang w:eastAsia="zh-CN"/>
        </w:rPr>
        <w:t>违反本条例规定，法律、行政法规已经规定行政处罚的，从其规定；构成犯罪的，依法追究刑事责任。</w:t>
      </w:r>
    </w:p>
    <w:p>
      <w:pPr>
        <w:spacing w:line="570" w:lineRule="exact"/>
        <w:ind w:firstLine="640" w:firstLineChars="200"/>
        <w:rPr>
          <w:rFonts w:hint="eastAsia" w:ascii="仿宋" w:hAnsi="仿宋" w:eastAsia="仿宋_GB2312" w:cs="仿宋_GB2312"/>
          <w:b w:val="0"/>
          <w:bCs/>
          <w:i w:val="0"/>
          <w:color w:val="auto"/>
          <w:kern w:val="0"/>
          <w:sz w:val="32"/>
          <w:szCs w:val="24"/>
          <w:lang w:eastAsia="zh-CN"/>
        </w:rPr>
      </w:pPr>
      <w:r>
        <w:rPr>
          <w:rFonts w:hint="eastAsia" w:ascii="黑体" w:hAnsi="仿宋_GB2312" w:eastAsia="黑体" w:cs="仿宋_GB2312"/>
          <w:color w:val="auto"/>
          <w:sz w:val="32"/>
          <w:szCs w:val="36"/>
          <w:u w:val="none"/>
        </w:rPr>
        <w:t xml:space="preserve">第四十四条  </w:t>
      </w:r>
      <w:r>
        <w:rPr>
          <w:rFonts w:hint="eastAsia" w:ascii="仿宋" w:hAnsi="仿宋" w:eastAsia="仿宋_GB2312" w:cs="仿宋_GB2312"/>
          <w:b w:val="0"/>
          <w:bCs/>
          <w:i w:val="0"/>
          <w:color w:val="auto"/>
          <w:kern w:val="0"/>
          <w:sz w:val="32"/>
          <w:szCs w:val="24"/>
          <w:lang w:eastAsia="zh-CN"/>
        </w:rPr>
        <w:t>违反本条例第九条规定，药品上市许可持有人、药品生产企业生产药品未按照国家药品标准或者经药品监督管理部门核准的药品注册标准规定的处方成份投料的，没收违法生产、销售的药品和违法所得，责令停产停业整顿，吊销药品批准证明文件，并处违法生产、销售的药品货值金额十五倍以上三十倍以下的罚款；货值金额不足十万元的，按十万元计算；情节严重的，吊销药品生产许可证，十年内不受理其相应申请。</w:t>
      </w:r>
    </w:p>
    <w:p>
      <w:pPr>
        <w:spacing w:line="570" w:lineRule="exact"/>
        <w:ind w:firstLine="640" w:firstLineChars="200"/>
        <w:rPr>
          <w:rFonts w:hint="eastAsia" w:ascii="仿宋" w:hAnsi="仿宋" w:eastAsia="仿宋_GB2312" w:cs="仿宋_GB2312"/>
          <w:b w:val="0"/>
          <w:bCs/>
          <w:i w:val="0"/>
          <w:color w:val="auto"/>
          <w:kern w:val="0"/>
          <w:sz w:val="32"/>
          <w:szCs w:val="24"/>
          <w:lang w:eastAsia="zh-CN"/>
        </w:rPr>
      </w:pPr>
      <w:r>
        <w:rPr>
          <w:rFonts w:hint="eastAsia" w:ascii="黑体" w:hAnsi="仿宋_GB2312" w:eastAsia="黑体" w:cs="仿宋_GB2312"/>
          <w:color w:val="auto"/>
          <w:sz w:val="32"/>
          <w:szCs w:val="36"/>
          <w:u w:val="none"/>
        </w:rPr>
        <w:t xml:space="preserve">第四十五条  </w:t>
      </w:r>
      <w:r>
        <w:rPr>
          <w:rFonts w:hint="eastAsia" w:ascii="仿宋" w:hAnsi="仿宋" w:eastAsia="仿宋_GB2312" w:cs="仿宋_GB2312"/>
          <w:b w:val="0"/>
          <w:bCs/>
          <w:i w:val="0"/>
          <w:color w:val="auto"/>
          <w:kern w:val="0"/>
          <w:sz w:val="32"/>
          <w:szCs w:val="24"/>
          <w:lang w:eastAsia="zh-CN"/>
        </w:rPr>
        <w:t>有下列行为之一的，没收违法生产、销售的药品和违法所得，并处违法生产、销售的药品货值金额十倍以上二十倍以下的罚款；货值金额不足十万元的，按十万元计算；情节严重的，责令停产停业整顿直至吊销药品批准证明文件、药品生产许可证：</w:t>
      </w:r>
    </w:p>
    <w:p>
      <w:pPr>
        <w:spacing w:line="570" w:lineRule="exact"/>
        <w:ind w:firstLine="640" w:firstLineChars="200"/>
        <w:rPr>
          <w:rFonts w:hint="eastAsia" w:ascii="仿宋" w:hAnsi="仿宋" w:eastAsia="仿宋_GB2312" w:cs="仿宋_GB2312"/>
          <w:b w:val="0"/>
          <w:bCs/>
          <w:i w:val="0"/>
          <w:color w:val="auto"/>
          <w:kern w:val="0"/>
          <w:sz w:val="32"/>
          <w:szCs w:val="24"/>
          <w:lang w:eastAsia="zh-CN"/>
        </w:rPr>
      </w:pPr>
      <w:r>
        <w:rPr>
          <w:rFonts w:hint="eastAsia" w:ascii="仿宋" w:hAnsi="仿宋" w:eastAsia="仿宋_GB2312" w:cs="仿宋_GB2312"/>
          <w:b w:val="0"/>
          <w:bCs/>
          <w:i w:val="0"/>
          <w:color w:val="auto"/>
          <w:kern w:val="0"/>
          <w:sz w:val="32"/>
          <w:szCs w:val="24"/>
          <w:lang w:eastAsia="zh-CN"/>
        </w:rPr>
        <w:t>（一）违反本条例第九条规定，药品上市许可持有人、药品生产企业生产药品未按照国家药品标准或者经药品监督管理部门核准的药品注册标准规定的处方量投料的；</w:t>
      </w:r>
    </w:p>
    <w:p>
      <w:pPr>
        <w:spacing w:line="570" w:lineRule="exact"/>
        <w:ind w:firstLine="640" w:firstLineChars="200"/>
        <w:rPr>
          <w:rFonts w:hint="eastAsia" w:ascii="仿宋" w:hAnsi="仿宋" w:eastAsia="仿宋_GB2312" w:cs="仿宋_GB2312"/>
          <w:b w:val="0"/>
          <w:bCs/>
          <w:i w:val="0"/>
          <w:color w:val="auto"/>
          <w:kern w:val="0"/>
          <w:sz w:val="32"/>
          <w:szCs w:val="24"/>
          <w:lang w:eastAsia="zh-CN"/>
        </w:rPr>
      </w:pPr>
      <w:r>
        <w:rPr>
          <w:rFonts w:hint="eastAsia" w:ascii="仿宋" w:hAnsi="仿宋" w:eastAsia="仿宋_GB2312" w:cs="仿宋_GB2312"/>
          <w:b w:val="0"/>
          <w:bCs/>
          <w:i w:val="0"/>
          <w:color w:val="auto"/>
          <w:kern w:val="0"/>
          <w:sz w:val="32"/>
          <w:szCs w:val="24"/>
          <w:lang w:eastAsia="zh-CN"/>
        </w:rPr>
        <w:t>（二）违反本条例第十条第三款规定，药品上市许可持有人、药品生产企业使用过期辅料、不符合相关标准的辅料、未经批准或者未通过关联审评审批的辅料生产药品的。</w:t>
      </w:r>
    </w:p>
    <w:p>
      <w:pPr>
        <w:spacing w:line="570" w:lineRule="exact"/>
        <w:ind w:firstLine="640" w:firstLineChars="200"/>
        <w:rPr>
          <w:rFonts w:hint="eastAsia" w:ascii="仿宋_GB2312" w:hAnsi="仿宋_GB2312" w:eastAsia="仿宋" w:cs="仿宋_GB2312"/>
          <w:color w:val="auto"/>
          <w:sz w:val="32"/>
          <w:szCs w:val="36"/>
          <w:u w:val="none"/>
        </w:rPr>
      </w:pPr>
      <w:r>
        <w:rPr>
          <w:rFonts w:hint="eastAsia" w:ascii="仿宋" w:hAnsi="仿宋" w:eastAsia="仿宋_GB2312" w:cs="仿宋_GB2312"/>
          <w:b w:val="0"/>
          <w:bCs/>
          <w:i w:val="0"/>
          <w:color w:val="auto"/>
          <w:kern w:val="0"/>
          <w:sz w:val="32"/>
          <w:szCs w:val="24"/>
          <w:lang w:eastAsia="zh-CN"/>
        </w:rPr>
        <w:t>前款第二项的过期辅料、不符合相关标准的辅料、未经批准或者未通过关联审评审批的辅料，由药品监督管理部门监督销毁。</w:t>
      </w:r>
    </w:p>
    <w:p>
      <w:pPr>
        <w:spacing w:line="570" w:lineRule="exact"/>
        <w:ind w:firstLine="640" w:firstLineChars="200"/>
        <w:rPr>
          <w:rFonts w:hint="eastAsia" w:ascii="仿宋" w:hAnsi="仿宋" w:eastAsia="仿宋_GB2312" w:cs="仿宋_GB2312"/>
          <w:b w:val="0"/>
          <w:bCs/>
          <w:i w:val="0"/>
          <w:color w:val="auto"/>
          <w:kern w:val="0"/>
          <w:sz w:val="32"/>
          <w:szCs w:val="24"/>
          <w:lang w:eastAsia="zh-CN"/>
        </w:rPr>
      </w:pPr>
      <w:r>
        <w:rPr>
          <w:rFonts w:hint="eastAsia" w:ascii="黑体" w:hAnsi="仿宋_GB2312" w:eastAsia="黑体" w:cs="仿宋_GB2312"/>
          <w:color w:val="auto"/>
          <w:sz w:val="32"/>
          <w:szCs w:val="36"/>
          <w:u w:val="none"/>
          <w:lang w:eastAsia="zh-CN"/>
        </w:rPr>
        <w:t>第四十六条</w:t>
      </w:r>
      <w:r>
        <w:rPr>
          <w:rFonts w:hint="eastAsia" w:ascii="黑体" w:hAnsi="仿宋_GB2312" w:eastAsia="黑体" w:cs="仿宋_GB2312"/>
          <w:color w:val="auto"/>
          <w:sz w:val="32"/>
          <w:szCs w:val="36"/>
          <w:u w:val="none"/>
          <w:lang w:val="en-US" w:eastAsia="zh-CN"/>
        </w:rPr>
        <w:t xml:space="preserve"> </w:t>
      </w:r>
      <w:r>
        <w:rPr>
          <w:rFonts w:hint="eastAsia" w:ascii="仿宋_GB2312" w:hAnsi="仿宋_GB2312" w:eastAsia="仿宋" w:cs="仿宋_GB2312"/>
          <w:color w:val="auto"/>
          <w:sz w:val="32"/>
          <w:szCs w:val="36"/>
          <w:u w:val="none"/>
        </w:rPr>
        <w:t xml:space="preserve"> </w:t>
      </w:r>
      <w:r>
        <w:rPr>
          <w:rFonts w:hint="eastAsia" w:ascii="仿宋" w:hAnsi="仿宋" w:eastAsia="仿宋_GB2312" w:cs="仿宋_GB2312"/>
          <w:b w:val="0"/>
          <w:bCs/>
          <w:i w:val="0"/>
          <w:color w:val="auto"/>
          <w:kern w:val="0"/>
          <w:sz w:val="32"/>
          <w:szCs w:val="24"/>
          <w:lang w:eastAsia="zh-CN"/>
        </w:rPr>
        <w:t>违反本条例第十条第二款规定，药品上市许可持有人、药品生产企业生产药品使用的原料药或者中药材、中药饮片未按照规定进行检验的，责令限期改正，给予警告；逾期不改正的，处十万元以上五十万元以下的罚款；情节严重的，处五十万元以上二百万元以下的罚款，责令停产停业整顿直至吊销药品批准证明文件、药品生产许可证，对法定代表人、主要负责人、直接负责的主管人员和其他责任人员，没收违法行为发生期间自本单位所获收入，并处所获收入百分之十以上百分之五十以下的罚款，十年直至终身禁止从事药品生产经营等活动。</w:t>
      </w:r>
    </w:p>
    <w:p>
      <w:pPr>
        <w:spacing w:line="570" w:lineRule="exact"/>
        <w:ind w:firstLine="640" w:firstLineChars="200"/>
        <w:rPr>
          <w:rFonts w:hint="eastAsia" w:ascii="仿宋" w:hAnsi="仿宋" w:eastAsia="仿宋_GB2312" w:cs="仿宋_GB2312"/>
          <w:b w:val="0"/>
          <w:bCs/>
          <w:i w:val="0"/>
          <w:color w:val="auto"/>
          <w:kern w:val="0"/>
          <w:sz w:val="32"/>
          <w:szCs w:val="24"/>
          <w:lang w:eastAsia="zh-CN"/>
        </w:rPr>
      </w:pPr>
      <w:r>
        <w:rPr>
          <w:rFonts w:hint="eastAsia" w:ascii="黑体" w:hAnsi="仿宋_GB2312" w:eastAsia="黑体" w:cs="仿宋_GB2312"/>
          <w:color w:val="auto"/>
          <w:sz w:val="32"/>
          <w:szCs w:val="36"/>
          <w:u w:val="none"/>
        </w:rPr>
        <w:t xml:space="preserve">第四十七条  </w:t>
      </w:r>
      <w:r>
        <w:rPr>
          <w:rFonts w:hint="eastAsia" w:ascii="仿宋" w:hAnsi="仿宋" w:eastAsia="仿宋_GB2312" w:cs="仿宋_GB2312"/>
          <w:b w:val="0"/>
          <w:bCs/>
          <w:i w:val="0"/>
          <w:color w:val="auto"/>
          <w:kern w:val="0"/>
          <w:sz w:val="32"/>
          <w:szCs w:val="24"/>
          <w:lang w:eastAsia="zh-CN"/>
        </w:rPr>
        <w:t>有下列行为之一的，没收违法销售的药品和违法所得，并处违法销售的药品货值金额十五倍以上三十倍以下的罚款；货值金额不足十万元的，按十万元计算：</w:t>
      </w:r>
    </w:p>
    <w:p>
      <w:pPr>
        <w:spacing w:line="570" w:lineRule="exact"/>
        <w:ind w:firstLine="640" w:firstLineChars="200"/>
        <w:rPr>
          <w:rFonts w:hint="eastAsia" w:ascii="仿宋" w:hAnsi="仿宋" w:eastAsia="仿宋_GB2312" w:cs="仿宋_GB2312"/>
          <w:b w:val="0"/>
          <w:bCs/>
          <w:i w:val="0"/>
          <w:color w:val="auto"/>
          <w:kern w:val="0"/>
          <w:sz w:val="32"/>
          <w:szCs w:val="24"/>
          <w:lang w:eastAsia="zh-CN"/>
        </w:rPr>
      </w:pPr>
      <w:r>
        <w:rPr>
          <w:rFonts w:hint="eastAsia" w:ascii="仿宋" w:hAnsi="仿宋" w:eastAsia="仿宋_GB2312" w:cs="仿宋_GB2312"/>
          <w:b w:val="0"/>
          <w:bCs/>
          <w:i w:val="0"/>
          <w:color w:val="auto"/>
          <w:kern w:val="0"/>
          <w:sz w:val="32"/>
          <w:szCs w:val="24"/>
          <w:lang w:eastAsia="zh-CN"/>
        </w:rPr>
        <w:t>（一）违反本条例第十三条规定，未经批准，药品经营企业擅自变更药品经营许可证载明的许可事项的；</w:t>
      </w:r>
    </w:p>
    <w:p>
      <w:pPr>
        <w:spacing w:line="570" w:lineRule="exact"/>
        <w:ind w:firstLine="640" w:firstLineChars="200"/>
        <w:rPr>
          <w:rFonts w:hint="eastAsia" w:ascii="仿宋" w:hAnsi="仿宋" w:eastAsia="仿宋_GB2312" w:cs="仿宋_GB2312"/>
          <w:b w:val="0"/>
          <w:bCs/>
          <w:i w:val="0"/>
          <w:color w:val="auto"/>
          <w:kern w:val="0"/>
          <w:sz w:val="32"/>
          <w:szCs w:val="24"/>
          <w:lang w:eastAsia="zh-CN"/>
        </w:rPr>
      </w:pPr>
      <w:r>
        <w:rPr>
          <w:rFonts w:hint="eastAsia" w:ascii="仿宋" w:hAnsi="仿宋" w:eastAsia="仿宋_GB2312" w:cs="仿宋_GB2312"/>
          <w:b w:val="0"/>
          <w:bCs/>
          <w:i w:val="0"/>
          <w:color w:val="auto"/>
          <w:kern w:val="0"/>
          <w:sz w:val="32"/>
          <w:szCs w:val="24"/>
          <w:lang w:eastAsia="zh-CN"/>
        </w:rPr>
        <w:t>（二）违反本条例第十四条第二款规定，药品生产企业销售本企业受委托生产的或者其他药品上市许可持有人、药品生产企业生产的药品的。</w:t>
      </w:r>
    </w:p>
    <w:p>
      <w:pPr>
        <w:spacing w:line="570" w:lineRule="exact"/>
        <w:ind w:firstLine="640" w:firstLineChars="200"/>
        <w:rPr>
          <w:rFonts w:hint="eastAsia" w:ascii="仿宋" w:hAnsi="仿宋" w:eastAsia="仿宋_GB2312" w:cs="仿宋_GB2312"/>
          <w:b w:val="0"/>
          <w:bCs/>
          <w:i w:val="0"/>
          <w:color w:val="auto"/>
          <w:kern w:val="0"/>
          <w:sz w:val="32"/>
          <w:szCs w:val="24"/>
          <w:lang w:eastAsia="zh-CN"/>
        </w:rPr>
      </w:pPr>
      <w:r>
        <w:rPr>
          <w:rFonts w:hint="eastAsia" w:ascii="黑体" w:hAnsi="仿宋_GB2312" w:eastAsia="黑体" w:cs="仿宋_GB2312"/>
          <w:color w:val="auto"/>
          <w:sz w:val="32"/>
          <w:szCs w:val="36"/>
          <w:u w:val="none"/>
          <w:lang w:eastAsia="zh-CN"/>
        </w:rPr>
        <w:t>第四十八条</w:t>
      </w:r>
      <w:r>
        <w:rPr>
          <w:rFonts w:hint="eastAsia" w:ascii="黑体" w:hAnsi="仿宋_GB2312" w:eastAsia="黑体" w:cs="仿宋_GB2312"/>
          <w:color w:val="auto"/>
          <w:sz w:val="32"/>
          <w:szCs w:val="36"/>
          <w:u w:val="none"/>
          <w:lang w:val="en-US" w:eastAsia="zh-CN"/>
        </w:rPr>
        <w:t xml:space="preserve"> </w:t>
      </w:r>
      <w:r>
        <w:rPr>
          <w:rFonts w:hint="eastAsia" w:ascii="黑体" w:hAnsi="仿宋_GB2312" w:eastAsia="黑体" w:cs="仿宋_GB2312"/>
          <w:color w:val="auto"/>
          <w:sz w:val="32"/>
          <w:szCs w:val="36"/>
          <w:u w:val="none"/>
        </w:rPr>
        <w:t xml:space="preserve"> </w:t>
      </w:r>
      <w:r>
        <w:rPr>
          <w:rFonts w:hint="eastAsia" w:ascii="仿宋" w:hAnsi="仿宋" w:eastAsia="仿宋_GB2312" w:cs="仿宋_GB2312"/>
          <w:b w:val="0"/>
          <w:bCs/>
          <w:i w:val="0"/>
          <w:color w:val="auto"/>
          <w:kern w:val="0"/>
          <w:sz w:val="32"/>
          <w:szCs w:val="24"/>
          <w:lang w:eastAsia="zh-CN"/>
        </w:rPr>
        <w:t>违反本条例第十五条规定，药品上市许可持有人、药品生产企业、药品批发企业向个人和无药品生产许可证、药品经营许可证、医疗机构执业许可证从事生产、经营的单位提供药品的，给予警告，责令改正，并处一万元以下的罚款；情节严重的，处一万元以上三万元以下的罚款。</w:t>
      </w:r>
    </w:p>
    <w:p>
      <w:pPr>
        <w:spacing w:line="570" w:lineRule="exact"/>
        <w:ind w:firstLine="640" w:firstLineChars="200"/>
        <w:rPr>
          <w:rFonts w:hint="eastAsia" w:ascii="黑体" w:hAnsi="仿宋_GB2312" w:eastAsia="黑体" w:cs="仿宋_GB2312"/>
          <w:color w:val="auto"/>
          <w:sz w:val="32"/>
          <w:szCs w:val="36"/>
          <w:u w:val="none"/>
        </w:rPr>
      </w:pPr>
      <w:r>
        <w:rPr>
          <w:rFonts w:hint="eastAsia" w:ascii="黑体" w:hAnsi="仿宋_GB2312" w:eastAsia="黑体" w:cs="仿宋_GB2312"/>
          <w:color w:val="auto"/>
          <w:sz w:val="32"/>
          <w:szCs w:val="36"/>
          <w:u w:val="none"/>
          <w:lang w:eastAsia="zh-CN"/>
        </w:rPr>
        <w:t>第四十九条</w:t>
      </w:r>
      <w:r>
        <w:rPr>
          <w:rFonts w:hint="eastAsia" w:ascii="黑体" w:hAnsi="仿宋_GB2312" w:eastAsia="黑体" w:cs="仿宋_GB2312"/>
          <w:color w:val="auto"/>
          <w:sz w:val="32"/>
          <w:szCs w:val="36"/>
          <w:u w:val="none"/>
        </w:rPr>
        <w:t xml:space="preserve"> </w:t>
      </w:r>
      <w:r>
        <w:rPr>
          <w:rFonts w:hint="eastAsia" w:ascii="黑体" w:hAnsi="仿宋_GB2312" w:eastAsia="黑体" w:cs="仿宋_GB2312"/>
          <w:color w:val="auto"/>
          <w:sz w:val="32"/>
          <w:szCs w:val="36"/>
          <w:u w:val="none"/>
          <w:lang w:val="en-US" w:eastAsia="zh-CN"/>
        </w:rPr>
        <w:t xml:space="preserve"> </w:t>
      </w:r>
      <w:r>
        <w:rPr>
          <w:rFonts w:hint="eastAsia" w:ascii="仿宋" w:hAnsi="仿宋" w:eastAsia="仿宋_GB2312" w:cs="仿宋_GB2312"/>
          <w:b w:val="0"/>
          <w:bCs/>
          <w:i w:val="0"/>
          <w:color w:val="auto"/>
          <w:kern w:val="0"/>
          <w:sz w:val="32"/>
          <w:szCs w:val="24"/>
          <w:lang w:eastAsia="zh-CN"/>
        </w:rPr>
        <w:t>违反本条例第十七条第一款规定，药品零售企业未凭执业医师、执业助理医师或者注册执业乡村医生的处方销售处方药的，责令限期改正，给予警告；逾期不改正或者情节严重的，处一千元以下的罚款。</w:t>
      </w:r>
    </w:p>
    <w:p>
      <w:pPr>
        <w:spacing w:line="570" w:lineRule="exact"/>
        <w:ind w:firstLine="640" w:firstLineChars="200"/>
        <w:rPr>
          <w:rFonts w:hint="eastAsia" w:ascii="仿宋" w:hAnsi="仿宋" w:eastAsia="仿宋_GB2312" w:cs="仿宋_GB2312"/>
          <w:b w:val="0"/>
          <w:bCs/>
          <w:i w:val="0"/>
          <w:color w:val="auto"/>
          <w:kern w:val="0"/>
          <w:sz w:val="32"/>
          <w:szCs w:val="24"/>
          <w:lang w:eastAsia="zh-CN"/>
        </w:rPr>
      </w:pPr>
      <w:r>
        <w:rPr>
          <w:rFonts w:hint="eastAsia" w:ascii="黑体" w:hAnsi="仿宋_GB2312" w:eastAsia="黑体" w:cs="仿宋_GB2312"/>
          <w:color w:val="auto"/>
          <w:sz w:val="32"/>
          <w:szCs w:val="36"/>
          <w:u w:val="none"/>
          <w:lang w:eastAsia="zh-CN"/>
        </w:rPr>
        <w:t>第五十条</w:t>
      </w:r>
      <w:r>
        <w:rPr>
          <w:rFonts w:hint="eastAsia" w:ascii="黑体" w:hAnsi="仿宋_GB2312" w:eastAsia="黑体" w:cs="仿宋_GB2312"/>
          <w:color w:val="auto"/>
          <w:sz w:val="32"/>
          <w:szCs w:val="36"/>
          <w:u w:val="none"/>
          <w:lang w:val="en-US" w:eastAsia="zh-CN"/>
        </w:rPr>
        <w:t xml:space="preserve">  </w:t>
      </w:r>
      <w:r>
        <w:rPr>
          <w:rFonts w:hint="eastAsia" w:ascii="仿宋" w:hAnsi="仿宋" w:eastAsia="仿宋_GB2312" w:cs="仿宋_GB2312"/>
          <w:b w:val="0"/>
          <w:bCs/>
          <w:i w:val="0"/>
          <w:color w:val="auto"/>
          <w:kern w:val="0"/>
          <w:sz w:val="32"/>
          <w:szCs w:val="24"/>
          <w:lang w:eastAsia="zh-CN"/>
        </w:rPr>
        <w:t>违反本条例第十九条第二款规定，药品上市许可持有人、药品生产企业、药品经营企业、医疗机构未在药品说明书规定的冷冻、冷藏条件下运输药品的，责令限期改正，给予警告；逾期不改正的，处五千元以上二万元以下的罚款；有关药品经依法确认属于假劣药品的，按照《中华人民共和国药品管理法》有关规定予以处罚。</w:t>
      </w:r>
    </w:p>
    <w:p>
      <w:pPr>
        <w:spacing w:line="570" w:lineRule="exact"/>
        <w:ind w:firstLine="640" w:firstLineChars="200"/>
        <w:rPr>
          <w:rFonts w:hint="eastAsia" w:ascii="仿宋" w:hAnsi="仿宋" w:eastAsia="仿宋_GB2312" w:cs="仿宋_GB2312"/>
          <w:b w:val="0"/>
          <w:bCs/>
          <w:i w:val="0"/>
          <w:color w:val="auto"/>
          <w:kern w:val="0"/>
          <w:sz w:val="32"/>
          <w:szCs w:val="24"/>
          <w:lang w:eastAsia="zh-CN"/>
        </w:rPr>
      </w:pPr>
      <w:r>
        <w:rPr>
          <w:rFonts w:hint="eastAsia" w:ascii="仿宋" w:hAnsi="仿宋" w:eastAsia="仿宋_GB2312" w:cs="仿宋_GB2312"/>
          <w:b w:val="0"/>
          <w:bCs/>
          <w:i w:val="0"/>
          <w:color w:val="auto"/>
          <w:kern w:val="0"/>
          <w:sz w:val="32"/>
          <w:szCs w:val="24"/>
          <w:lang w:eastAsia="zh-CN"/>
        </w:rPr>
        <w:t>违反本条例第十九条第二款规定，药品上市许可持有人、药品生产企业、药品经营企业、医疗机构未在药品说明书规定的冷冻、冷藏条件下储存药品的，责令限期改正，给予警告；逾期不改正的，处十万元以上五十万元以下的罚款；情节严重的，处五十万元以上二百万元以下的罚款，责令停产停业整顿直至吊销药品生产许可证、药品经营许可证、医疗机构执业许可证；有关药品经依法确认属于假劣药品的，按照《中华人民共和国药品管理法》有关规定予以处罚。</w:t>
      </w:r>
    </w:p>
    <w:p>
      <w:pPr>
        <w:spacing w:line="570" w:lineRule="exact"/>
        <w:ind w:firstLine="640" w:firstLineChars="200"/>
        <w:rPr>
          <w:rFonts w:hint="eastAsia" w:ascii="仿宋_GB2312" w:hAnsi="仿宋_GB2312" w:eastAsia="仿宋" w:cs="仿宋_GB2312"/>
          <w:color w:val="auto"/>
          <w:sz w:val="32"/>
          <w:szCs w:val="36"/>
          <w:highlight w:val="none"/>
          <w:u w:val="none"/>
          <w:lang w:eastAsia="zh-CN"/>
        </w:rPr>
      </w:pPr>
      <w:r>
        <w:rPr>
          <w:rFonts w:hint="eastAsia" w:ascii="黑体" w:hAnsi="黑体" w:eastAsia="黑体" w:cs="黑体"/>
          <w:color w:val="auto"/>
          <w:sz w:val="32"/>
          <w:szCs w:val="36"/>
          <w:u w:val="none"/>
          <w:lang w:eastAsia="zh-CN"/>
        </w:rPr>
        <w:t>第五十一条</w:t>
      </w:r>
      <w:r>
        <w:rPr>
          <w:rFonts w:hint="eastAsia" w:ascii="黑体" w:hAnsi="黑体" w:eastAsia="黑体" w:cs="黑体"/>
          <w:color w:val="auto"/>
          <w:sz w:val="32"/>
          <w:szCs w:val="36"/>
          <w:u w:val="none"/>
          <w:lang w:val="en-US" w:eastAsia="zh-CN"/>
        </w:rPr>
        <w:t xml:space="preserve">  </w:t>
      </w:r>
      <w:r>
        <w:rPr>
          <w:rFonts w:hint="eastAsia" w:ascii="仿宋" w:hAnsi="仿宋" w:eastAsia="仿宋_GB2312" w:cs="仿宋_GB2312"/>
          <w:b w:val="0"/>
          <w:bCs/>
          <w:i w:val="0"/>
          <w:color w:val="auto"/>
          <w:kern w:val="0"/>
          <w:sz w:val="32"/>
          <w:szCs w:val="24"/>
          <w:lang w:eastAsia="zh-CN"/>
        </w:rPr>
        <w:t>违反本条例第二十一条规定，非法收购药品或者收购过期药品的，没收违法收购的药品和违法所得，并处违法收购的药品货值金额十五倍以上三十倍以下的罚款；货值金额不足十万元的，按十万元计算。</w:t>
      </w:r>
    </w:p>
    <w:p>
      <w:pPr>
        <w:spacing w:line="570" w:lineRule="exact"/>
        <w:ind w:firstLine="640" w:firstLineChars="200"/>
        <w:rPr>
          <w:rFonts w:hint="eastAsia" w:ascii="仿宋" w:hAnsi="仿宋" w:eastAsia="仿宋_GB2312" w:cs="仿宋_GB2312"/>
          <w:b w:val="0"/>
          <w:bCs/>
          <w:i w:val="0"/>
          <w:color w:val="auto"/>
          <w:kern w:val="0"/>
          <w:sz w:val="32"/>
          <w:szCs w:val="24"/>
          <w:lang w:eastAsia="zh-CN"/>
        </w:rPr>
      </w:pPr>
      <w:r>
        <w:rPr>
          <w:rFonts w:hint="eastAsia" w:ascii="黑体" w:hAnsi="仿宋_GB2312" w:eastAsia="黑体" w:cs="仿宋_GB2312"/>
          <w:color w:val="auto"/>
          <w:sz w:val="32"/>
          <w:szCs w:val="36"/>
          <w:u w:val="none"/>
          <w:lang w:eastAsia="zh-CN"/>
        </w:rPr>
        <w:t>第五十二条</w:t>
      </w:r>
      <w:r>
        <w:rPr>
          <w:rFonts w:hint="eastAsia" w:ascii="黑体" w:hAnsi="仿宋_GB2312" w:eastAsia="黑体" w:cs="仿宋_GB2312"/>
          <w:color w:val="auto"/>
          <w:sz w:val="32"/>
          <w:szCs w:val="36"/>
          <w:u w:val="none"/>
        </w:rPr>
        <w:t xml:space="preserve"> </w:t>
      </w:r>
      <w:r>
        <w:rPr>
          <w:rFonts w:hint="eastAsia" w:ascii="黑体" w:hAnsi="仿宋_GB2312" w:eastAsia="黑体" w:cs="仿宋_GB2312"/>
          <w:color w:val="auto"/>
          <w:sz w:val="32"/>
          <w:szCs w:val="36"/>
          <w:u w:val="none"/>
          <w:lang w:val="en-US" w:eastAsia="zh-CN"/>
        </w:rPr>
        <w:t xml:space="preserve"> </w:t>
      </w:r>
      <w:r>
        <w:rPr>
          <w:rFonts w:hint="eastAsia" w:ascii="仿宋" w:hAnsi="仿宋" w:eastAsia="仿宋_GB2312" w:cs="仿宋_GB2312"/>
          <w:b w:val="0"/>
          <w:bCs/>
          <w:i w:val="0"/>
          <w:color w:val="auto"/>
          <w:kern w:val="0"/>
          <w:sz w:val="32"/>
          <w:szCs w:val="24"/>
          <w:lang w:eastAsia="zh-CN"/>
        </w:rPr>
        <w:t>违反本条例第二十二条第一款规定，医疗机构设置药房或者药柜不符合药品购进、验收、保管、储存规定的，责令限期改正；情节严重的，给予通报。</w:t>
      </w:r>
    </w:p>
    <w:p>
      <w:pPr>
        <w:spacing w:line="570" w:lineRule="exact"/>
        <w:ind w:firstLine="640" w:firstLineChars="200"/>
        <w:rPr>
          <w:rFonts w:hint="eastAsia" w:ascii="黑体" w:hAnsi="黑体" w:eastAsia="黑体" w:cs="黑体"/>
          <w:b w:val="0"/>
          <w:bCs/>
          <w:i w:val="0"/>
          <w:color w:val="auto"/>
          <w:sz w:val="32"/>
          <w:szCs w:val="36"/>
          <w:u w:val="none"/>
          <w:lang w:eastAsia="zh-CN"/>
        </w:rPr>
      </w:pPr>
      <w:r>
        <w:rPr>
          <w:rFonts w:hint="eastAsia" w:ascii="仿宋_GB2312" w:hAnsi="仿宋_GB2312" w:eastAsia="黑体" w:cs="仿宋_GB2312"/>
          <w:b w:val="0"/>
          <w:bCs/>
          <w:i w:val="0"/>
          <w:color w:val="auto"/>
          <w:sz w:val="32"/>
          <w:szCs w:val="36"/>
          <w:u w:val="none"/>
          <w:lang w:eastAsia="zh-CN"/>
        </w:rPr>
        <w:t>第五十三条</w:t>
      </w:r>
      <w:r>
        <w:rPr>
          <w:rFonts w:hint="eastAsia" w:ascii="仿宋_GB2312" w:hAnsi="仿宋_GB2312" w:eastAsia="黑体" w:cs="仿宋_GB2312"/>
          <w:b w:val="0"/>
          <w:bCs/>
          <w:i w:val="0"/>
          <w:color w:val="auto"/>
          <w:sz w:val="32"/>
          <w:szCs w:val="36"/>
          <w:u w:val="none"/>
          <w:lang w:val="en-US" w:eastAsia="zh-CN"/>
        </w:rPr>
        <w:t xml:space="preserve"> </w:t>
      </w:r>
      <w:r>
        <w:rPr>
          <w:rFonts w:hint="eastAsia" w:ascii="黑体" w:hAnsi="黑体" w:eastAsia="黑体" w:cs="黑体"/>
          <w:b w:val="0"/>
          <w:bCs/>
          <w:i w:val="0"/>
          <w:color w:val="auto"/>
          <w:sz w:val="32"/>
          <w:szCs w:val="36"/>
          <w:u w:val="none"/>
          <w:lang w:val="en-US" w:eastAsia="zh-CN"/>
        </w:rPr>
        <w:t xml:space="preserve"> </w:t>
      </w:r>
      <w:r>
        <w:rPr>
          <w:rFonts w:hint="eastAsia" w:ascii="仿宋" w:hAnsi="仿宋" w:eastAsia="仿宋_GB2312" w:cs="仿宋_GB2312"/>
          <w:b w:val="0"/>
          <w:bCs/>
          <w:i w:val="0"/>
          <w:color w:val="auto"/>
          <w:kern w:val="0"/>
          <w:sz w:val="32"/>
          <w:szCs w:val="24"/>
          <w:lang w:eastAsia="zh-CN"/>
        </w:rPr>
        <w:t>违反本条例第二十二条第二款规定，医疗机构内设科室违反规定私设药柜，医务人员及其他人员私自出售药品或者制剂的，没收违法存放、销售的药品、制剂和违法所得，并处违法存放、销售的药品、制剂货值金额十五倍以上三十倍以下的罚款；货值金额不足十万元的，按十万元计算。</w:t>
      </w:r>
    </w:p>
    <w:p>
      <w:pPr>
        <w:spacing w:line="570" w:lineRule="exact"/>
        <w:ind w:firstLine="640" w:firstLineChars="200"/>
        <w:rPr>
          <w:rFonts w:hint="eastAsia" w:ascii="黑体" w:hAnsi="仿宋_GB2312" w:eastAsia="黑体" w:cs="仿宋_GB2312"/>
          <w:color w:val="auto"/>
          <w:sz w:val="32"/>
          <w:szCs w:val="36"/>
          <w:u w:val="none"/>
        </w:rPr>
      </w:pPr>
      <w:r>
        <w:rPr>
          <w:rFonts w:hint="eastAsia" w:ascii="黑体" w:hAnsi="仿宋_GB2312" w:eastAsia="黑体" w:cs="仿宋_GB2312"/>
          <w:color w:val="auto"/>
          <w:sz w:val="32"/>
          <w:szCs w:val="36"/>
          <w:u w:val="none"/>
          <w:lang w:eastAsia="zh-CN"/>
        </w:rPr>
        <w:t>第五十四条</w:t>
      </w:r>
      <w:r>
        <w:rPr>
          <w:rFonts w:hint="eastAsia" w:ascii="黑体" w:hAnsi="仿宋_GB2312" w:eastAsia="黑体" w:cs="仿宋_GB2312"/>
          <w:color w:val="auto"/>
          <w:sz w:val="32"/>
          <w:szCs w:val="36"/>
          <w:u w:val="none"/>
        </w:rPr>
        <w:t xml:space="preserve">  </w:t>
      </w:r>
      <w:r>
        <w:rPr>
          <w:rFonts w:hint="eastAsia" w:ascii="仿宋" w:hAnsi="仿宋" w:eastAsia="仿宋_GB2312" w:cs="仿宋_GB2312"/>
          <w:b w:val="0"/>
          <w:bCs/>
          <w:i w:val="0"/>
          <w:color w:val="auto"/>
          <w:kern w:val="0"/>
          <w:sz w:val="32"/>
          <w:szCs w:val="24"/>
          <w:lang w:eastAsia="zh-CN"/>
        </w:rPr>
        <w:t>违反本条例第二十七条规定，医疗机构配制制剂未遵守制剂配制质量管理规范的，责令限期改正，给予警告；逾期不改正的，处十万元以上五十万元以下的罚款；情节严重的，处五十万元以上二百万元以下的罚款，责令停产停业整顿直至吊销医疗机构制剂配制许可证，对法定代表人、主要负责人、直接负责的主管人员和其他责任人员，没收违法行为发生期间自本单位所获收入，并处所获收入百分之十以上百分之五十以下的罚款，十年直至终身禁止从事药品生产经营等活动。</w:t>
      </w:r>
    </w:p>
    <w:p>
      <w:pPr>
        <w:spacing w:line="570" w:lineRule="exact"/>
        <w:ind w:firstLine="640" w:firstLineChars="200"/>
        <w:rPr>
          <w:rFonts w:hint="eastAsia" w:ascii="仿宋_GB2312" w:hAnsi="仿宋_GB2312" w:eastAsia="仿宋" w:cs="仿宋_GB2312"/>
          <w:color w:val="auto"/>
          <w:sz w:val="32"/>
          <w:szCs w:val="36"/>
          <w:u w:val="none"/>
        </w:rPr>
      </w:pPr>
      <w:r>
        <w:rPr>
          <w:rFonts w:hint="eastAsia" w:ascii="黑体" w:hAnsi="仿宋_GB2312" w:eastAsia="黑体" w:cs="仿宋_GB2312"/>
          <w:color w:val="auto"/>
          <w:sz w:val="32"/>
          <w:szCs w:val="36"/>
          <w:u w:val="none"/>
          <w:lang w:eastAsia="zh-CN"/>
        </w:rPr>
        <w:t>第五十五条</w:t>
      </w:r>
      <w:r>
        <w:rPr>
          <w:rFonts w:hint="eastAsia" w:ascii="黑体" w:hAnsi="仿宋_GB2312" w:eastAsia="黑体" w:cs="仿宋_GB2312"/>
          <w:color w:val="auto"/>
          <w:sz w:val="32"/>
          <w:szCs w:val="36"/>
          <w:u w:val="none"/>
        </w:rPr>
        <w:t xml:space="preserve">  </w:t>
      </w:r>
      <w:r>
        <w:rPr>
          <w:rFonts w:hint="eastAsia" w:ascii="仿宋" w:hAnsi="仿宋" w:eastAsia="仿宋_GB2312" w:cs="仿宋_GB2312"/>
          <w:b w:val="0"/>
          <w:bCs/>
          <w:i w:val="0"/>
          <w:color w:val="auto"/>
          <w:kern w:val="0"/>
          <w:sz w:val="32"/>
          <w:szCs w:val="24"/>
          <w:lang w:eastAsia="zh-CN"/>
        </w:rPr>
        <w:t>违反本条例第二十八条规定，医疗机构委托配制中药制剂应当备案而未备案，或者备案时提供虚假材料的，责令改正，没收违法所得，并处三万元以下罚款，向社会公告相关信息；拒不改正的，责令停止委托配制中药制剂活动，其直接责任人员五年内不得从事中医药相关活动。</w:t>
      </w:r>
    </w:p>
    <w:p>
      <w:pPr>
        <w:spacing w:line="570" w:lineRule="exact"/>
        <w:ind w:firstLine="640" w:firstLineChars="200"/>
        <w:rPr>
          <w:rFonts w:hint="eastAsia" w:ascii="仿宋" w:hAnsi="仿宋" w:eastAsia="仿宋_GB2312" w:cs="仿宋_GB2312"/>
          <w:b w:val="0"/>
          <w:bCs/>
          <w:i w:val="0"/>
          <w:color w:val="auto"/>
          <w:kern w:val="0"/>
          <w:sz w:val="32"/>
          <w:szCs w:val="24"/>
          <w:lang w:eastAsia="zh-CN"/>
        </w:rPr>
      </w:pPr>
      <w:r>
        <w:rPr>
          <w:rFonts w:hint="eastAsia" w:ascii="黑体" w:hAnsi="仿宋_GB2312" w:eastAsia="黑体" w:cs="仿宋_GB2312"/>
          <w:color w:val="auto"/>
          <w:sz w:val="32"/>
          <w:szCs w:val="36"/>
          <w:u w:val="none"/>
          <w:lang w:eastAsia="zh-CN"/>
        </w:rPr>
        <w:t>第五十六条</w:t>
      </w:r>
      <w:r>
        <w:rPr>
          <w:rFonts w:hint="eastAsia" w:ascii="黑体" w:hAnsi="仿宋_GB2312" w:eastAsia="黑体" w:cs="仿宋_GB2312"/>
          <w:color w:val="auto"/>
          <w:sz w:val="32"/>
          <w:szCs w:val="36"/>
          <w:u w:val="none"/>
          <w:lang w:val="en-US" w:eastAsia="zh-CN"/>
        </w:rPr>
        <w:t xml:space="preserve"> </w:t>
      </w:r>
      <w:r>
        <w:rPr>
          <w:rFonts w:hint="eastAsia" w:ascii="黑体" w:hAnsi="仿宋_GB2312" w:eastAsia="黑体" w:cs="仿宋_GB2312"/>
          <w:color w:val="auto"/>
          <w:sz w:val="32"/>
          <w:szCs w:val="36"/>
          <w:u w:val="none"/>
        </w:rPr>
        <w:t xml:space="preserve"> </w:t>
      </w:r>
      <w:r>
        <w:rPr>
          <w:rFonts w:hint="eastAsia" w:ascii="仿宋" w:hAnsi="仿宋" w:eastAsia="仿宋_GB2312" w:cs="仿宋_GB2312"/>
          <w:b w:val="0"/>
          <w:bCs/>
          <w:i w:val="0"/>
          <w:color w:val="auto"/>
          <w:kern w:val="0"/>
          <w:sz w:val="32"/>
          <w:szCs w:val="24"/>
          <w:lang w:eastAsia="zh-CN"/>
        </w:rPr>
        <w:t>药品经营企业、医疗机构未违反《中华人民共和国药品管理法》以及相关行政法规的有关规定，并有充分证据证明其不知道所销售或者使用的药品是假药、劣药的，应当没收其销售或者使用的假药、劣药和违法所得；但是，可以免除其他行政处罚。</w:t>
      </w:r>
    </w:p>
    <w:p>
      <w:pPr>
        <w:spacing w:line="570" w:lineRule="exact"/>
        <w:ind w:firstLine="640" w:firstLineChars="200"/>
        <w:rPr>
          <w:rFonts w:hint="eastAsia" w:ascii="仿宋" w:hAnsi="仿宋" w:eastAsia="仿宋_GB2312" w:cs="仿宋_GB2312"/>
          <w:b w:val="0"/>
          <w:bCs/>
          <w:i w:val="0"/>
          <w:color w:val="auto"/>
          <w:kern w:val="0"/>
          <w:sz w:val="32"/>
          <w:szCs w:val="24"/>
          <w:lang w:eastAsia="zh-CN"/>
        </w:rPr>
      </w:pPr>
      <w:r>
        <w:rPr>
          <w:rFonts w:hint="eastAsia" w:ascii="仿宋" w:hAnsi="仿宋" w:eastAsia="仿宋_GB2312" w:cs="仿宋_GB2312"/>
          <w:b w:val="0"/>
          <w:bCs/>
          <w:i w:val="0"/>
          <w:color w:val="auto"/>
          <w:kern w:val="0"/>
          <w:sz w:val="32"/>
          <w:szCs w:val="24"/>
          <w:lang w:eastAsia="zh-CN"/>
        </w:rPr>
        <w:t>前款规定中的“充分证据”是指：</w:t>
      </w:r>
    </w:p>
    <w:p>
      <w:pPr>
        <w:spacing w:line="570" w:lineRule="exact"/>
        <w:ind w:firstLine="640" w:firstLineChars="200"/>
        <w:rPr>
          <w:rFonts w:hint="eastAsia" w:ascii="仿宋" w:hAnsi="仿宋" w:eastAsia="仿宋_GB2312" w:cs="仿宋_GB2312"/>
          <w:b w:val="0"/>
          <w:bCs/>
          <w:i w:val="0"/>
          <w:color w:val="auto"/>
          <w:kern w:val="0"/>
          <w:sz w:val="32"/>
          <w:szCs w:val="24"/>
          <w:lang w:eastAsia="zh-CN"/>
        </w:rPr>
      </w:pPr>
      <w:r>
        <w:rPr>
          <w:rFonts w:hint="eastAsia" w:ascii="仿宋" w:hAnsi="仿宋" w:eastAsia="仿宋_GB2312" w:cs="仿宋_GB2312"/>
          <w:b w:val="0"/>
          <w:bCs/>
          <w:i w:val="0"/>
          <w:color w:val="auto"/>
          <w:kern w:val="0"/>
          <w:sz w:val="32"/>
          <w:szCs w:val="24"/>
          <w:lang w:eastAsia="zh-CN"/>
        </w:rPr>
        <w:t>（一）进货渠道合法，提供的药品生产许可证或者药品经营许可证、营业执照、供货单位销售人员授权委托书及审核证明、药品合格证明、销售票据等证明真实合法；</w:t>
      </w:r>
    </w:p>
    <w:p>
      <w:pPr>
        <w:spacing w:line="570" w:lineRule="exact"/>
        <w:ind w:firstLine="640" w:firstLineChars="200"/>
        <w:rPr>
          <w:rFonts w:hint="eastAsia" w:ascii="仿宋" w:hAnsi="仿宋" w:eastAsia="仿宋_GB2312" w:cs="仿宋_GB2312"/>
          <w:b w:val="0"/>
          <w:bCs/>
          <w:i w:val="0"/>
          <w:color w:val="auto"/>
          <w:kern w:val="0"/>
          <w:sz w:val="32"/>
          <w:szCs w:val="24"/>
          <w:lang w:eastAsia="zh-CN"/>
        </w:rPr>
      </w:pPr>
      <w:r>
        <w:rPr>
          <w:rFonts w:hint="eastAsia" w:ascii="仿宋" w:hAnsi="仿宋" w:eastAsia="仿宋_GB2312" w:cs="仿宋_GB2312"/>
          <w:b w:val="0"/>
          <w:bCs/>
          <w:i w:val="0"/>
          <w:color w:val="auto"/>
          <w:kern w:val="0"/>
          <w:sz w:val="32"/>
          <w:szCs w:val="24"/>
          <w:lang w:eastAsia="zh-CN"/>
        </w:rPr>
        <w:t>（二）药品采购与收货记录、入库检查验收记录真实完整；</w:t>
      </w:r>
    </w:p>
    <w:p>
      <w:pPr>
        <w:spacing w:line="570" w:lineRule="exact"/>
        <w:ind w:firstLine="640" w:firstLineChars="200"/>
        <w:rPr>
          <w:rFonts w:hint="eastAsia" w:ascii="仿宋_GB2312" w:hAnsi="仿宋_GB2312" w:eastAsia="仿宋" w:cs="仿宋_GB2312"/>
          <w:color w:val="auto"/>
          <w:sz w:val="32"/>
          <w:szCs w:val="36"/>
          <w:u w:val="none"/>
        </w:rPr>
      </w:pPr>
      <w:r>
        <w:rPr>
          <w:rFonts w:hint="eastAsia" w:ascii="仿宋" w:hAnsi="仿宋" w:eastAsia="仿宋_GB2312" w:cs="仿宋_GB2312"/>
          <w:b w:val="0"/>
          <w:bCs/>
          <w:i w:val="0"/>
          <w:color w:val="auto"/>
          <w:kern w:val="0"/>
          <w:sz w:val="32"/>
          <w:szCs w:val="24"/>
          <w:lang w:eastAsia="zh-CN"/>
        </w:rPr>
        <w:t>（三）药品的储存、养护、销售、出库复核、运输未违反有关规定且有真实完整的记录。</w:t>
      </w:r>
    </w:p>
    <w:p>
      <w:pPr>
        <w:spacing w:line="570" w:lineRule="exact"/>
        <w:ind w:firstLine="640" w:firstLineChars="200"/>
        <w:rPr>
          <w:rFonts w:hint="eastAsia" w:ascii="仿宋" w:hAnsi="仿宋" w:eastAsia="仿宋_GB2312" w:cs="仿宋_GB2312"/>
          <w:b w:val="0"/>
          <w:bCs/>
          <w:i w:val="0"/>
          <w:color w:val="auto"/>
          <w:kern w:val="0"/>
          <w:sz w:val="32"/>
          <w:szCs w:val="24"/>
          <w:lang w:eastAsia="zh-CN"/>
        </w:rPr>
      </w:pPr>
      <w:r>
        <w:rPr>
          <w:rFonts w:hint="eastAsia" w:ascii="黑体" w:hAnsi="仿宋_GB2312" w:eastAsia="黑体" w:cs="仿宋_GB2312"/>
          <w:color w:val="auto"/>
          <w:sz w:val="32"/>
          <w:szCs w:val="36"/>
          <w:u w:val="none"/>
          <w:lang w:eastAsia="zh-CN"/>
        </w:rPr>
        <w:t>第五十七条</w:t>
      </w:r>
      <w:r>
        <w:rPr>
          <w:rFonts w:hint="eastAsia" w:ascii="黑体" w:hAnsi="仿宋_GB2312" w:eastAsia="黑体" w:cs="仿宋_GB2312"/>
          <w:color w:val="auto"/>
          <w:sz w:val="32"/>
          <w:szCs w:val="36"/>
          <w:u w:val="none"/>
          <w:lang w:val="en-US" w:eastAsia="zh-CN"/>
        </w:rPr>
        <w:t xml:space="preserve"> </w:t>
      </w:r>
      <w:r>
        <w:rPr>
          <w:rFonts w:hint="eastAsia" w:ascii="黑体" w:hAnsi="仿宋_GB2312" w:eastAsia="黑体" w:cs="仿宋_GB2312"/>
          <w:color w:val="auto"/>
          <w:sz w:val="32"/>
          <w:szCs w:val="36"/>
          <w:u w:val="none"/>
        </w:rPr>
        <w:t xml:space="preserve"> </w:t>
      </w:r>
      <w:r>
        <w:rPr>
          <w:rFonts w:hint="eastAsia" w:ascii="仿宋" w:hAnsi="仿宋" w:eastAsia="仿宋_GB2312" w:cs="仿宋_GB2312"/>
          <w:b w:val="0"/>
          <w:bCs/>
          <w:i w:val="0"/>
          <w:color w:val="auto"/>
          <w:kern w:val="0"/>
          <w:sz w:val="32"/>
          <w:szCs w:val="24"/>
          <w:lang w:eastAsia="zh-CN"/>
        </w:rPr>
        <w:t>药品监督管理部门工作人员滥用职权、徇私舞弊、玩忽职守的，由有权机关依法给予处分；构成犯罪的，依法追究刑事责任。</w:t>
      </w:r>
    </w:p>
    <w:p>
      <w:pPr>
        <w:pStyle w:val="2"/>
        <w:rPr>
          <w:rFonts w:hint="default"/>
          <w:lang w:val="en-US" w:eastAsia="zh-CN"/>
        </w:rPr>
      </w:pPr>
    </w:p>
    <w:p>
      <w:pPr>
        <w:pStyle w:val="2"/>
        <w:ind w:left="0" w:leftChars="0" w:firstLine="0" w:firstLineChars="0"/>
        <w:jc w:val="center"/>
        <w:rPr>
          <w:rFonts w:hint="eastAsia" w:ascii="黑体" w:hAnsi="黑体" w:eastAsia="黑体" w:cs="黑体"/>
          <w:szCs w:val="20"/>
          <w:lang w:val="en-US" w:eastAsia="zh-CN"/>
        </w:rPr>
      </w:pPr>
      <w:r>
        <w:rPr>
          <w:rFonts w:hint="eastAsia" w:ascii="黑体" w:hAnsi="黑体" w:eastAsia="黑体" w:cs="黑体"/>
          <w:szCs w:val="20"/>
          <w:lang w:val="en-US" w:eastAsia="zh-CN"/>
        </w:rPr>
        <w:t>第七章 附 则</w:t>
      </w:r>
    </w:p>
    <w:p>
      <w:pPr>
        <w:pStyle w:val="2"/>
        <w:ind w:left="0" w:leftChars="0" w:firstLine="0" w:firstLineChars="0"/>
        <w:jc w:val="center"/>
        <w:rPr>
          <w:rFonts w:hint="eastAsia" w:ascii="黑体" w:hAnsi="黑体" w:eastAsia="黑体" w:cs="黑体"/>
          <w:szCs w:val="20"/>
          <w:lang w:val="en-US" w:eastAsia="zh-CN"/>
        </w:rPr>
      </w:pPr>
    </w:p>
    <w:p>
      <w:pPr>
        <w:numPr>
          <w:ilvl w:val="0"/>
          <w:numId w:val="0"/>
        </w:numPr>
        <w:spacing w:line="570" w:lineRule="exact"/>
        <w:ind w:firstLine="640" w:firstLineChars="200"/>
      </w:pPr>
      <w:r>
        <w:rPr>
          <w:rFonts w:hint="eastAsia" w:ascii="黑体" w:hAnsi="仿宋_GB2312" w:eastAsia="黑体" w:cs="仿宋_GB2312"/>
          <w:color w:val="auto"/>
          <w:sz w:val="32"/>
          <w:szCs w:val="36"/>
          <w:u w:val="none"/>
          <w:lang w:val="en-US" w:eastAsia="zh-CN"/>
        </w:rPr>
        <w:t>第五十八条</w:t>
      </w:r>
      <w:r>
        <w:rPr>
          <w:rFonts w:hint="eastAsia" w:ascii="仿宋_GB2312" w:hAnsi="仿宋_GB2312" w:eastAsia="仿宋" w:cs="仿宋_GB2312"/>
          <w:color w:val="auto"/>
          <w:sz w:val="32"/>
          <w:szCs w:val="36"/>
          <w:u w:val="none"/>
          <w:lang w:val="en-US" w:eastAsia="zh-CN"/>
        </w:rPr>
        <w:t xml:space="preserve">  </w:t>
      </w:r>
      <w:r>
        <w:rPr>
          <w:rFonts w:hint="eastAsia" w:ascii="仿宋" w:hAnsi="仿宋" w:eastAsia="仿宋_GB2312" w:cs="仿宋_GB2312"/>
          <w:b w:val="0"/>
          <w:bCs/>
          <w:i w:val="0"/>
          <w:color w:val="auto"/>
          <w:kern w:val="0"/>
          <w:sz w:val="32"/>
          <w:szCs w:val="24"/>
          <w:lang w:val="en-US" w:eastAsia="zh-CN"/>
        </w:rPr>
        <w:t>本条例自2022年9月1日起施行。2007年5月24日吉林省第十届人民代表大会常务委员会第三十五次会议通过的《吉林省药品监督管理条例》同时废止。</w:t>
      </w:r>
    </w:p>
    <w:sectPr>
      <w:footerReference r:id="rId3" w:type="default"/>
      <w:footerReference r:id="rId4" w:type="even"/>
      <w:pgSz w:w="11906" w:h="16838"/>
      <w:pgMar w:top="2098" w:right="1474" w:bottom="1984" w:left="1587" w:header="851" w:footer="1587"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ˎ̥">
    <w:altName w:val="文泉驿微米黑"/>
    <w:panose1 w:val="00000000000000000000"/>
    <w:charset w:val="00"/>
    <w:family w:val="roman"/>
    <w:pitch w:val="default"/>
    <w:sig w:usb0="00000000" w:usb1="00000000" w:usb2="00000000" w:usb3="00000000" w:csb0="00040001" w:csb1="00000000"/>
  </w:font>
  <w:font w:name="楷体_GB2312">
    <w:altName w:val="楷体"/>
    <w:panose1 w:val="02010609030101010101"/>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汉仪中宋简"/>
    <w:panose1 w:val="02010600040101010101"/>
    <w:charset w:val="00"/>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文泉驿微米黑">
    <w:panose1 w:val="020B0606030804020204"/>
    <w:charset w:val="86"/>
    <w:family w:val="auto"/>
    <w:pitch w:val="default"/>
    <w:sig w:usb0="E10002EF" w:usb1="6BDFFCFB" w:usb2="00800036" w:usb3="00000000" w:csb0="603E019F" w:csb1="DFD70000"/>
  </w:font>
  <w:font w:name="Nimbus Roman No9 L">
    <w:panose1 w:val="00000000000000000000"/>
    <w:charset w:val="00"/>
    <w:family w:val="auto"/>
    <w:pitch w:val="default"/>
    <w:sig w:usb0="00000000" w:usb1="00000000" w:usb2="00000000" w:usb3="00000000" w:csb0="00000000"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keepNext w:val="0"/>
                            <w:keepLines w:val="0"/>
                            <w:pageBreakBefore w:val="0"/>
                            <w:widowControl w:val="0"/>
                            <w:kinsoku/>
                            <w:wordWrap/>
                            <w:overflowPunct/>
                            <w:topLinePunct w:val="0"/>
                            <w:autoSpaceDE/>
                            <w:autoSpaceDN/>
                            <w:bidi w:val="0"/>
                            <w:adjustRightInd/>
                            <w:snapToGrid w:val="0"/>
                            <w:ind w:right="420" w:rightChars="200"/>
                            <w:textAlignment w:val="auto"/>
                            <w:rPr>
                              <w:rStyle w:val="9"/>
                              <w:rFonts w:hint="eastAsia" w:asciiTheme="minorEastAsia" w:hAnsiTheme="minorEastAsia" w:eastAsiaTheme="minorEastAsia" w:cstheme="minorEastAsia"/>
                              <w:sz w:val="28"/>
                              <w:szCs w:val="28"/>
                            </w:rPr>
                          </w:pPr>
                          <w:r>
                            <w:rPr>
                              <w:rStyle w:val="9"/>
                              <w:rFonts w:hint="eastAsia" w:asciiTheme="minorEastAsia" w:hAnsiTheme="minorEastAsia" w:eastAsiaTheme="minorEastAsia" w:cstheme="minorEastAsia"/>
                              <w:sz w:val="28"/>
                              <w:szCs w:val="28"/>
                            </w:rPr>
                            <w:fldChar w:fldCharType="begin"/>
                          </w:r>
                          <w:r>
                            <w:rPr>
                              <w:rStyle w:val="9"/>
                              <w:rFonts w:hint="eastAsia" w:asciiTheme="minorEastAsia" w:hAnsiTheme="minorEastAsia" w:eastAsiaTheme="minorEastAsia" w:cstheme="minorEastAsia"/>
                              <w:sz w:val="28"/>
                              <w:szCs w:val="28"/>
                            </w:rPr>
                            <w:instrText xml:space="preserve"> PAGE  \* MERGEFORMAT </w:instrText>
                          </w:r>
                          <w:r>
                            <w:rPr>
                              <w:rStyle w:val="9"/>
                              <w:rFonts w:hint="eastAsia" w:asciiTheme="minorEastAsia" w:hAnsiTheme="minorEastAsia" w:eastAsiaTheme="minorEastAsia" w:cstheme="minorEastAsia"/>
                              <w:sz w:val="28"/>
                              <w:szCs w:val="28"/>
                            </w:rPr>
                            <w:fldChar w:fldCharType="separate"/>
                          </w:r>
                          <w:r>
                            <w:rPr>
                              <w:rStyle w:val="9"/>
                              <w:rFonts w:hint="eastAsia" w:asciiTheme="minorEastAsia" w:hAnsiTheme="minorEastAsia" w:eastAsiaTheme="minorEastAsia" w:cstheme="minorEastAsia"/>
                              <w:sz w:val="28"/>
                              <w:szCs w:val="28"/>
                            </w:rPr>
                            <w:t>1</w:t>
                          </w:r>
                          <w:r>
                            <w:rPr>
                              <w:rStyle w:val="9"/>
                              <w:rFonts w:hint="eastAsia" w:asciiTheme="minorEastAsia" w:hAnsiTheme="minorEastAsia" w:eastAsiaTheme="minorEastAsia" w:cstheme="minorEastAsia"/>
                              <w:sz w:val="28"/>
                              <w:szCs w:val="28"/>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fill on="f" focussize="0,0"/>
              <v:stroke on="f"/>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ind w:right="420" w:rightChars="200"/>
                      <w:textAlignment w:val="auto"/>
                      <w:rPr>
                        <w:rStyle w:val="9"/>
                        <w:rFonts w:hint="eastAsia" w:asciiTheme="minorEastAsia" w:hAnsiTheme="minorEastAsia" w:eastAsiaTheme="minorEastAsia" w:cstheme="minorEastAsia"/>
                        <w:sz w:val="28"/>
                        <w:szCs w:val="28"/>
                      </w:rPr>
                    </w:pPr>
                    <w:r>
                      <w:rPr>
                        <w:rStyle w:val="9"/>
                        <w:rFonts w:hint="eastAsia" w:asciiTheme="minorEastAsia" w:hAnsiTheme="minorEastAsia" w:eastAsiaTheme="minorEastAsia" w:cstheme="minorEastAsia"/>
                        <w:sz w:val="28"/>
                        <w:szCs w:val="28"/>
                      </w:rPr>
                      <w:fldChar w:fldCharType="begin"/>
                    </w:r>
                    <w:r>
                      <w:rPr>
                        <w:rStyle w:val="9"/>
                        <w:rFonts w:hint="eastAsia" w:asciiTheme="minorEastAsia" w:hAnsiTheme="minorEastAsia" w:eastAsiaTheme="minorEastAsia" w:cstheme="minorEastAsia"/>
                        <w:sz w:val="28"/>
                        <w:szCs w:val="28"/>
                      </w:rPr>
                      <w:instrText xml:space="preserve"> PAGE  \* MERGEFORMAT </w:instrText>
                    </w:r>
                    <w:r>
                      <w:rPr>
                        <w:rStyle w:val="9"/>
                        <w:rFonts w:hint="eastAsia" w:asciiTheme="minorEastAsia" w:hAnsiTheme="minorEastAsia" w:eastAsiaTheme="minorEastAsia" w:cstheme="minorEastAsia"/>
                        <w:sz w:val="28"/>
                        <w:szCs w:val="28"/>
                      </w:rPr>
                      <w:fldChar w:fldCharType="separate"/>
                    </w:r>
                    <w:r>
                      <w:rPr>
                        <w:rStyle w:val="9"/>
                        <w:rFonts w:hint="eastAsia" w:asciiTheme="minorEastAsia" w:hAnsiTheme="minorEastAsia" w:eastAsiaTheme="minorEastAsia" w:cstheme="minorEastAsia"/>
                        <w:sz w:val="28"/>
                        <w:szCs w:val="28"/>
                      </w:rPr>
                      <w:t>1</w:t>
                    </w:r>
                    <w:r>
                      <w:rPr>
                        <w:rStyle w:val="9"/>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keepNext w:val="0"/>
                            <w:keepLines w:val="0"/>
                            <w:pageBreakBefore w:val="0"/>
                            <w:widowControl w:val="0"/>
                            <w:kinsoku/>
                            <w:wordWrap/>
                            <w:overflowPunct/>
                            <w:topLinePunct w:val="0"/>
                            <w:autoSpaceDE/>
                            <w:autoSpaceDN/>
                            <w:bidi w:val="0"/>
                            <w:adjustRightInd/>
                            <w:snapToGrid w:val="0"/>
                            <w:ind w:left="420" w:leftChars="200"/>
                            <w:textAlignment w:val="auto"/>
                            <w:rPr>
                              <w:rStyle w:val="9"/>
                            </w:rPr>
                          </w:pPr>
                          <w:r>
                            <w:rPr>
                              <w:rStyle w:val="9"/>
                              <w:rFonts w:hint="eastAsia" w:asciiTheme="minorEastAsia" w:hAnsiTheme="minorEastAsia" w:eastAsiaTheme="minorEastAsia" w:cstheme="minorEastAsia"/>
                              <w:sz w:val="28"/>
                              <w:szCs w:val="28"/>
                            </w:rPr>
                            <w:fldChar w:fldCharType="begin"/>
                          </w:r>
                          <w:r>
                            <w:rPr>
                              <w:rStyle w:val="9"/>
                              <w:rFonts w:hint="eastAsia" w:asciiTheme="minorEastAsia" w:hAnsiTheme="minorEastAsia" w:eastAsiaTheme="minorEastAsia" w:cstheme="minorEastAsia"/>
                              <w:sz w:val="28"/>
                              <w:szCs w:val="28"/>
                            </w:rPr>
                            <w:instrText xml:space="preserve"> PAGE  \* MERGEFORMAT </w:instrText>
                          </w:r>
                          <w:r>
                            <w:rPr>
                              <w:rStyle w:val="9"/>
                              <w:rFonts w:hint="eastAsia" w:asciiTheme="minorEastAsia" w:hAnsiTheme="minorEastAsia" w:eastAsiaTheme="minorEastAsia" w:cstheme="minorEastAsia"/>
                              <w:sz w:val="28"/>
                              <w:szCs w:val="28"/>
                            </w:rPr>
                            <w:fldChar w:fldCharType="separate"/>
                          </w:r>
                          <w:r>
                            <w:rPr>
                              <w:rStyle w:val="9"/>
                              <w:rFonts w:hint="eastAsia" w:asciiTheme="minorEastAsia" w:hAnsiTheme="minorEastAsia" w:eastAsiaTheme="minorEastAsia" w:cstheme="minorEastAsia"/>
                              <w:sz w:val="28"/>
                              <w:szCs w:val="28"/>
                            </w:rPr>
                            <w:t>- 2 -</w:t>
                          </w:r>
                          <w:r>
                            <w:rPr>
                              <w:rStyle w:val="9"/>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ind w:left="420" w:leftChars="200"/>
                      <w:textAlignment w:val="auto"/>
                      <w:rPr>
                        <w:rStyle w:val="9"/>
                      </w:rPr>
                    </w:pPr>
                    <w:r>
                      <w:rPr>
                        <w:rStyle w:val="9"/>
                        <w:rFonts w:hint="eastAsia" w:asciiTheme="minorEastAsia" w:hAnsiTheme="minorEastAsia" w:eastAsiaTheme="minorEastAsia" w:cstheme="minorEastAsia"/>
                        <w:sz w:val="28"/>
                        <w:szCs w:val="28"/>
                      </w:rPr>
                      <w:fldChar w:fldCharType="begin"/>
                    </w:r>
                    <w:r>
                      <w:rPr>
                        <w:rStyle w:val="9"/>
                        <w:rFonts w:hint="eastAsia" w:asciiTheme="minorEastAsia" w:hAnsiTheme="minorEastAsia" w:eastAsiaTheme="minorEastAsia" w:cstheme="minorEastAsia"/>
                        <w:sz w:val="28"/>
                        <w:szCs w:val="28"/>
                      </w:rPr>
                      <w:instrText xml:space="preserve"> PAGE  \* MERGEFORMAT </w:instrText>
                    </w:r>
                    <w:r>
                      <w:rPr>
                        <w:rStyle w:val="9"/>
                        <w:rFonts w:hint="eastAsia" w:asciiTheme="minorEastAsia" w:hAnsiTheme="minorEastAsia" w:eastAsiaTheme="minorEastAsia" w:cstheme="minorEastAsia"/>
                        <w:sz w:val="28"/>
                        <w:szCs w:val="28"/>
                      </w:rPr>
                      <w:fldChar w:fldCharType="separate"/>
                    </w:r>
                    <w:r>
                      <w:rPr>
                        <w:rStyle w:val="9"/>
                        <w:rFonts w:hint="eastAsia" w:asciiTheme="minorEastAsia" w:hAnsiTheme="minorEastAsia" w:eastAsiaTheme="minorEastAsia" w:cstheme="minorEastAsia"/>
                        <w:sz w:val="28"/>
                        <w:szCs w:val="28"/>
                      </w:rPr>
                      <w:t>- 2 -</w:t>
                    </w:r>
                    <w:r>
                      <w:rPr>
                        <w:rStyle w:val="9"/>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true"/>
  <w:bordersDoNotSurroundFooter w:val="true"/>
  <w:documentProtection w:enforcement="0"/>
  <w:defaultTabStop w:val="42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xNDUyNTNkNWNiNDMxOWIzZjFiY2Q4ZWUyOWU2OTUifQ=="/>
  </w:docVars>
  <w:rsids>
    <w:rsidRoot w:val="31A604F5"/>
    <w:rsid w:val="071759A5"/>
    <w:rsid w:val="16BC50B3"/>
    <w:rsid w:val="1DA4887D"/>
    <w:rsid w:val="1FCE38CB"/>
    <w:rsid w:val="31A604F5"/>
    <w:rsid w:val="3965359E"/>
    <w:rsid w:val="43AA04E6"/>
    <w:rsid w:val="4B0437F6"/>
    <w:rsid w:val="4D757F0B"/>
    <w:rsid w:val="5819079B"/>
    <w:rsid w:val="5AE6D4AC"/>
    <w:rsid w:val="5DEF64A8"/>
    <w:rsid w:val="5F7FF2AA"/>
    <w:rsid w:val="5FF7860C"/>
    <w:rsid w:val="673474F1"/>
    <w:rsid w:val="6CCE3B1C"/>
    <w:rsid w:val="72232A71"/>
    <w:rsid w:val="7F7A9C21"/>
    <w:rsid w:val="7FA4308B"/>
    <w:rsid w:val="7FBBF66E"/>
    <w:rsid w:val="7FEF7DAB"/>
    <w:rsid w:val="ABFFA669"/>
    <w:rsid w:val="BBCF4E98"/>
    <w:rsid w:val="BDFF2BAD"/>
    <w:rsid w:val="BFEBF328"/>
    <w:rsid w:val="BFFFC17B"/>
    <w:rsid w:val="C3FD09EB"/>
    <w:rsid w:val="CDDBD64F"/>
    <w:rsid w:val="DFBAA33D"/>
    <w:rsid w:val="F27F7470"/>
    <w:rsid w:val="F7EFE2E4"/>
    <w:rsid w:val="F7FCDA8E"/>
    <w:rsid w:val="F9AE2FC1"/>
    <w:rsid w:val="FC2E98C2"/>
    <w:rsid w:val="FF566060"/>
    <w:rsid w:val="FF7F7AC9"/>
    <w:rsid w:val="FFDF1D88"/>
    <w:rsid w:val="FFEF9C69"/>
    <w:rsid w:val="FFFFE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960"/>
    </w:pPr>
  </w:style>
  <w:style w:type="paragraph" w:styleId="3">
    <w:name w:val="Body Text Indent"/>
    <w:basedOn w:val="1"/>
    <w:qFormat/>
    <w:uiPriority w:val="0"/>
    <w:pPr>
      <w:ind w:firstLine="570"/>
    </w:pPr>
    <w:rPr>
      <w:sz w:val="32"/>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page number"/>
    <w:basedOn w:val="8"/>
    <w:qFormat/>
    <w:uiPriority w:val="0"/>
  </w:style>
  <w:style w:type="character" w:styleId="10">
    <w:name w:val="Hyperlink"/>
    <w:qFormat/>
    <w:uiPriority w:val="0"/>
    <w:rPr>
      <w:rFonts w:hint="default" w:ascii="ˎ̥" w:hAnsi="ˎ̥"/>
      <w:color w:val="0404B3"/>
      <w:sz w:val="18"/>
      <w:szCs w:val="18"/>
      <w:u w:val="none"/>
    </w:rPr>
  </w:style>
  <w:style w:type="paragraph" w:customStyle="1" w:styleId="11">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正文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rPr>
  </w:style>
  <w:style w:type="paragraph" w:customStyle="1" w:styleId="13">
    <w:name w:val="正文 New New New New New New New New New New New New New New New New New New New New New New New New New New New New New New New New New New New New New"/>
    <w:next w:val="14"/>
    <w:qFormat/>
    <w:uiPriority w:val="0"/>
    <w:pPr>
      <w:widowControl w:val="0"/>
      <w:jc w:val="both"/>
    </w:pPr>
    <w:rPr>
      <w:rFonts w:ascii="Times New Roman" w:hAnsi="Times New Roman" w:eastAsia="宋体" w:cs="Times New Roman"/>
      <w:kern w:val="2"/>
      <w:sz w:val="21"/>
      <w:szCs w:val="24"/>
      <w:lang w:val="en-US" w:eastAsia="zh-CN"/>
    </w:rPr>
  </w:style>
  <w:style w:type="paragraph" w:customStyle="1" w:styleId="14">
    <w:name w:val="正文首行缩进 2 New New New New New New New New New New New New New"/>
    <w:qFormat/>
    <w:uiPriority w:val="0"/>
    <w:pPr>
      <w:widowControl w:val="0"/>
      <w:ind w:firstLine="960"/>
      <w:jc w:val="both"/>
    </w:pPr>
    <w:rPr>
      <w:rFonts w:ascii="Times New Roman" w:hAnsi="Times New Roman" w:eastAsia="宋体" w:cs="Times New Roman"/>
      <w:kern w:val="2"/>
      <w:sz w:val="32"/>
      <w:szCs w:val="24"/>
      <w:lang w:val="en-US" w:eastAsia="zh-CN"/>
    </w:rPr>
  </w:style>
  <w:style w:type="paragraph" w:customStyle="1" w:styleId="15">
    <w:name w:val="正文文本缩进 New New"/>
    <w:qFormat/>
    <w:uiPriority w:val="0"/>
    <w:pPr>
      <w:widowControl w:val="0"/>
      <w:ind w:firstLine="570"/>
      <w:jc w:val="both"/>
    </w:pPr>
    <w:rPr>
      <w:rFonts w:ascii="Times New Roman" w:hAnsi="Times New Roman" w:eastAsia="宋体" w:cs="Times New Roman"/>
      <w:kern w:val="2"/>
      <w:sz w:val="32"/>
      <w:szCs w:val="24"/>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7493</Words>
  <Characters>7503</Characters>
  <Lines>0</Lines>
  <Paragraphs>0</Paragraphs>
  <TotalTime>2</TotalTime>
  <ScaleCrop>false</ScaleCrop>
  <LinksUpToDate>false</LinksUpToDate>
  <CharactersWithSpaces>7648</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2022-05-06T20:42:00Z</dcterms:created>
  <dc:creator>Administrator</dc:creator>
  <cp:lastModifiedBy>user</cp:lastModifiedBy>
  <cp:lastPrinted>2022-05-11T19:52:00Z</cp:lastPrinted>
  <dcterms:modified xsi:type="dcterms:W3CDTF">2024-10-08T15:24:03Z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4A7585A25F0E41E59DC0D20A32887B3B</vt:lpwstr>
  </property>
</Properties>
</file>