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9AE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2326F1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关于印发《</w:t>
      </w:r>
      <w:r>
        <w:rPr>
          <w:rFonts w:hint="eastAsia" w:ascii="方正小标宋简体" w:eastAsia="方正小标宋简体"/>
          <w:color w:val="auto"/>
          <w:sz w:val="44"/>
          <w:szCs w:val="44"/>
        </w:rPr>
        <w:t>吉林省长期护理保险失能等级评估机构定点管理实施细则（试行）</w:t>
      </w:r>
      <w:r>
        <w:rPr>
          <w:rFonts w:hint="eastAsia" w:ascii="方正小标宋简体" w:eastAsia="方正小标宋简体"/>
          <w:color w:val="auto"/>
          <w:sz w:val="44"/>
          <w:szCs w:val="44"/>
          <w:lang w:eastAsia="zh-CN"/>
        </w:rPr>
        <w:t>》的通知</w:t>
      </w:r>
    </w:p>
    <w:p w14:paraId="5875C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p>
    <w:p w14:paraId="3237E4B5">
      <w:pPr>
        <w:pStyle w:val="19"/>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各市（州）医疗保障局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长白山管委会医疗保障局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梅河口市医疗保障局：</w:t>
      </w:r>
    </w:p>
    <w:p w14:paraId="6C215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为加强长期护理保险</w:t>
      </w:r>
      <w:r>
        <w:rPr>
          <w:rFonts w:hint="eastAsia" w:ascii="仿宋_GB2312" w:eastAsia="仿宋_GB2312"/>
          <w:color w:val="auto"/>
          <w:sz w:val="32"/>
          <w:szCs w:val="32"/>
          <w:lang w:eastAsia="zh-CN"/>
        </w:rPr>
        <w:t>失能等级</w:t>
      </w:r>
      <w:r>
        <w:rPr>
          <w:rFonts w:hint="eastAsia" w:ascii="仿宋_GB2312" w:eastAsia="仿宋_GB2312"/>
          <w:color w:val="auto"/>
          <w:sz w:val="32"/>
          <w:szCs w:val="32"/>
        </w:rPr>
        <w:t>评估机构定点管理，</w:t>
      </w:r>
      <w:r>
        <w:rPr>
          <w:rFonts w:hint="eastAsia" w:ascii="仿宋_GB2312" w:eastAsia="仿宋_GB2312"/>
          <w:color w:val="auto"/>
          <w:sz w:val="32"/>
          <w:szCs w:val="32"/>
          <w:lang w:eastAsia="zh-CN"/>
        </w:rPr>
        <w:t>进一步</w:t>
      </w:r>
      <w:r>
        <w:rPr>
          <w:rFonts w:hint="eastAsia" w:ascii="仿宋_GB2312" w:eastAsia="仿宋_GB2312"/>
          <w:color w:val="auto"/>
          <w:sz w:val="32"/>
          <w:szCs w:val="32"/>
        </w:rPr>
        <w:t>规范评估行为</w:t>
      </w:r>
      <w:r>
        <w:rPr>
          <w:rFonts w:hint="eastAsia" w:ascii="仿宋_GB2312" w:eastAsia="仿宋_GB2312"/>
          <w:color w:val="auto"/>
          <w:sz w:val="32"/>
          <w:szCs w:val="32"/>
          <w:lang w:val="en-US" w:eastAsia="zh-CN"/>
        </w:rPr>
        <w:t>、提升评估质量，</w:t>
      </w:r>
      <w:r>
        <w:rPr>
          <w:rFonts w:hint="eastAsia" w:ascii="仿宋_GB2312" w:eastAsia="仿宋_GB2312"/>
          <w:color w:val="auto"/>
          <w:sz w:val="32"/>
          <w:szCs w:val="32"/>
        </w:rPr>
        <w:t>保障享受长期护理保险待遇的参保人员合法权益，</w:t>
      </w:r>
      <w:r>
        <w:rPr>
          <w:rFonts w:hint="eastAsia" w:ascii="仿宋_GB2312" w:eastAsia="仿宋_GB2312"/>
          <w:color w:val="auto"/>
          <w:sz w:val="32"/>
          <w:szCs w:val="32"/>
          <w:lang w:eastAsia="zh-CN"/>
        </w:rPr>
        <w:t>根据</w:t>
      </w:r>
      <w:r>
        <w:rPr>
          <w:rFonts w:hint="eastAsia" w:ascii="仿宋_GB2312" w:eastAsia="仿宋_GB2312"/>
          <w:color w:val="auto"/>
          <w:sz w:val="32"/>
          <w:szCs w:val="32"/>
        </w:rPr>
        <w:t>《国家医保局 财政部关于印发〈长期护理保险失能等级评估管理办法（试行）〉的通知》（医保发〔2023〕29号）</w:t>
      </w:r>
      <w:r>
        <w:rPr>
          <w:rFonts w:hint="eastAsia" w:ascii="仿宋_GB2312" w:eastAsia="仿宋_GB2312"/>
          <w:color w:val="auto"/>
          <w:sz w:val="32"/>
          <w:szCs w:val="32"/>
          <w:lang w:eastAsia="zh-CN"/>
        </w:rPr>
        <w:t>和</w:t>
      </w:r>
      <w:r>
        <w:rPr>
          <w:rFonts w:hint="eastAsia" w:ascii="仿宋_GB2312" w:eastAsia="仿宋_GB2312"/>
          <w:color w:val="auto"/>
          <w:sz w:val="32"/>
          <w:szCs w:val="32"/>
        </w:rPr>
        <w:t>《国家医疗保障局关于印发〈长期护理保险失能等级评估机构定点管理办法（试行）〉的通知》（医保发〔2024〕13号）等有关规定，结合</w:t>
      </w:r>
      <w:r>
        <w:rPr>
          <w:rFonts w:hint="eastAsia" w:ascii="仿宋_GB2312" w:eastAsia="仿宋_GB2312"/>
          <w:color w:val="auto"/>
          <w:sz w:val="32"/>
          <w:szCs w:val="32"/>
          <w:lang w:eastAsia="zh-CN"/>
        </w:rPr>
        <w:t>我省</w:t>
      </w:r>
      <w:r>
        <w:rPr>
          <w:rFonts w:hint="eastAsia" w:ascii="仿宋_GB2312" w:eastAsia="仿宋_GB2312"/>
          <w:color w:val="auto"/>
          <w:sz w:val="32"/>
          <w:szCs w:val="32"/>
        </w:rPr>
        <w:t>实际，制定了《</w:t>
      </w:r>
      <w:r>
        <w:rPr>
          <w:rFonts w:hint="eastAsia" w:ascii="仿宋_GB2312" w:eastAsia="仿宋_GB2312"/>
          <w:color w:val="auto"/>
          <w:sz w:val="32"/>
          <w:szCs w:val="32"/>
          <w:lang w:eastAsia="zh-CN"/>
        </w:rPr>
        <w:t>吉林省</w:t>
      </w:r>
      <w:r>
        <w:rPr>
          <w:rFonts w:hint="eastAsia" w:ascii="仿宋_GB2312" w:eastAsia="仿宋_GB2312"/>
          <w:color w:val="auto"/>
          <w:sz w:val="32"/>
          <w:szCs w:val="32"/>
        </w:rPr>
        <w:t>长期护理保险失能等级评估机构定点管理实施细则（试行）》。</w:t>
      </w:r>
      <w:r>
        <w:rPr>
          <w:rFonts w:hint="eastAsia" w:ascii="仿宋_GB2312" w:eastAsia="仿宋_GB2312"/>
          <w:color w:val="auto"/>
          <w:sz w:val="32"/>
          <w:szCs w:val="32"/>
          <w:lang w:eastAsia="zh-CN"/>
        </w:rPr>
        <w:t>现</w:t>
      </w:r>
      <w:r>
        <w:rPr>
          <w:rFonts w:hint="eastAsia" w:ascii="仿宋_GB2312" w:eastAsia="仿宋_GB2312"/>
          <w:color w:val="auto"/>
          <w:sz w:val="32"/>
          <w:szCs w:val="32"/>
          <w:lang w:val="en-US" w:eastAsia="zh-CN"/>
        </w:rPr>
        <w:t>印发给你们，请认真贯彻落实。</w:t>
      </w:r>
    </w:p>
    <w:p w14:paraId="1C295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p>
    <w:p w14:paraId="576922A5">
      <w:pPr>
        <w:keepNext w:val="0"/>
        <w:keepLines w:val="0"/>
        <w:pageBreakBefore w:val="0"/>
        <w:widowControl/>
        <w:suppressLineNumbers w:val="0"/>
        <w:shd w:val="clear" w:fill="FFFFFF"/>
        <w:kinsoku/>
        <w:wordWrap/>
        <w:overflowPunct/>
        <w:topLinePunct w:val="0"/>
        <w:bidi w:val="0"/>
        <w:snapToGrid/>
        <w:spacing w:line="560" w:lineRule="exact"/>
        <w:ind w:left="0" w:firstLine="0"/>
        <w:jc w:val="both"/>
        <w:textAlignment w:val="auto"/>
        <w:rPr>
          <w:rFonts w:hint="eastAsia" w:ascii="仿宋_GB2312" w:hAnsi="方正仿宋简体" w:eastAsia="仿宋_GB2312" w:cs="Times New Roman"/>
          <w:color w:val="auto"/>
          <w:kern w:val="0"/>
          <w:sz w:val="32"/>
          <w:szCs w:val="32"/>
          <w:lang w:val="en-US" w:eastAsia="zh-CN" w:bidi="ar-SA"/>
        </w:rPr>
      </w:pPr>
    </w:p>
    <w:p w14:paraId="137AEA92">
      <w:pPr>
        <w:keepNext w:val="0"/>
        <w:keepLines w:val="0"/>
        <w:pageBreakBefore w:val="0"/>
        <w:widowControl/>
        <w:suppressLineNumbers w:val="0"/>
        <w:shd w:val="clear" w:fill="FFFFFF"/>
        <w:kinsoku/>
        <w:wordWrap/>
        <w:overflowPunct/>
        <w:topLinePunct w:val="0"/>
        <w:bidi w:val="0"/>
        <w:snapToGrid/>
        <w:spacing w:line="560" w:lineRule="exact"/>
        <w:ind w:left="0" w:firstLine="0"/>
        <w:jc w:val="both"/>
        <w:textAlignment w:val="auto"/>
        <w:rPr>
          <w:rFonts w:hint="eastAsia" w:ascii="仿宋_GB2312" w:hAnsi="方正仿宋简体" w:eastAsia="仿宋_GB2312" w:cs="Times New Roman"/>
          <w:color w:val="auto"/>
          <w:kern w:val="0"/>
          <w:sz w:val="32"/>
          <w:szCs w:val="32"/>
          <w:lang w:val="en-US" w:eastAsia="zh-CN" w:bidi="ar-SA"/>
        </w:rPr>
      </w:pPr>
    </w:p>
    <w:p w14:paraId="4FE2EFBC">
      <w:pPr>
        <w:keepNext w:val="0"/>
        <w:keepLines w:val="0"/>
        <w:pageBreakBefore w:val="0"/>
        <w:widowControl/>
        <w:suppressLineNumbers w:val="0"/>
        <w:shd w:val="clear" w:fill="FFFFFF"/>
        <w:kinsoku/>
        <w:wordWrap/>
        <w:overflowPunct/>
        <w:topLinePunct w:val="0"/>
        <w:bidi w:val="0"/>
        <w:snapToGrid/>
        <w:spacing w:line="560" w:lineRule="exact"/>
        <w:ind w:left="0" w:firstLine="5760" w:firstLineChars="1800"/>
        <w:jc w:val="both"/>
        <w:textAlignment w:val="auto"/>
        <w:rPr>
          <w:rFonts w:hint="eastAsia" w:ascii="仿宋_GB2312" w:hAnsi="方正仿宋简体" w:eastAsia="仿宋_GB2312" w:cs="Times New Roman"/>
          <w:color w:val="auto"/>
          <w:kern w:val="0"/>
          <w:sz w:val="32"/>
          <w:szCs w:val="32"/>
          <w:lang w:val="en-US" w:eastAsia="zh-CN" w:bidi="ar-SA"/>
        </w:rPr>
      </w:pPr>
      <w:r>
        <w:rPr>
          <w:rFonts w:hint="eastAsia" w:ascii="仿宋_GB2312" w:hAnsi="方正仿宋简体" w:eastAsia="仿宋_GB2312" w:cs="Times New Roman"/>
          <w:color w:val="auto"/>
          <w:kern w:val="0"/>
          <w:sz w:val="32"/>
          <w:szCs w:val="32"/>
          <w:lang w:val="en-US" w:eastAsia="zh-CN" w:bidi="ar-SA"/>
        </w:rPr>
        <w:t>吉林省医疗保障局</w:t>
      </w:r>
    </w:p>
    <w:p w14:paraId="4BAE1AFC">
      <w:pPr>
        <w:keepNext w:val="0"/>
        <w:keepLines w:val="0"/>
        <w:pageBreakBefore w:val="0"/>
        <w:widowControl/>
        <w:suppressLineNumbers w:val="0"/>
        <w:shd w:val="clear" w:fill="FFFFFF"/>
        <w:kinsoku/>
        <w:wordWrap/>
        <w:overflowPunct/>
        <w:topLinePunct w:val="0"/>
        <w:bidi w:val="0"/>
        <w:snapToGrid/>
        <w:spacing w:line="560" w:lineRule="exact"/>
        <w:ind w:left="0" w:firstLine="0"/>
        <w:jc w:val="center"/>
        <w:textAlignment w:val="auto"/>
        <w:rPr>
          <w:rFonts w:hint="eastAsia" w:ascii="仿宋_GB2312" w:hAnsi="方正仿宋简体" w:eastAsia="仿宋_GB2312" w:cs="Times New Roman"/>
          <w:color w:val="auto"/>
          <w:kern w:val="0"/>
          <w:sz w:val="32"/>
          <w:szCs w:val="32"/>
          <w:lang w:val="en-US" w:eastAsia="zh-CN" w:bidi="ar-SA"/>
        </w:rPr>
      </w:pPr>
      <w:r>
        <w:rPr>
          <w:rFonts w:hint="eastAsia" w:ascii="仿宋_GB2312" w:hAnsi="方正仿宋简体" w:eastAsia="仿宋_GB2312" w:cs="Times New Roman"/>
          <w:color w:val="auto"/>
          <w:kern w:val="0"/>
          <w:sz w:val="32"/>
          <w:szCs w:val="32"/>
          <w:lang w:val="en-US" w:eastAsia="zh-CN" w:bidi="ar-SA"/>
        </w:rPr>
        <w:t xml:space="preserve">                                2026年3月31日</w:t>
      </w:r>
    </w:p>
    <w:p w14:paraId="6C8D0BF2">
      <w:pPr>
        <w:keepNext w:val="0"/>
        <w:keepLines w:val="0"/>
        <w:pageBreakBefore w:val="0"/>
        <w:widowControl/>
        <w:suppressLineNumbers w:val="0"/>
        <w:shd w:val="clear" w:fill="FFFFFF"/>
        <w:kinsoku/>
        <w:wordWrap/>
        <w:overflowPunct/>
        <w:topLinePunct w:val="0"/>
        <w:bidi w:val="0"/>
        <w:snapToGrid/>
        <w:spacing w:line="560" w:lineRule="exact"/>
        <w:ind w:left="0" w:firstLine="0"/>
        <w:jc w:val="right"/>
        <w:textAlignment w:val="auto"/>
        <w:rPr>
          <w:rFonts w:hint="eastAsia" w:ascii="仿宋_GB2312" w:hAnsi="方正仿宋简体" w:eastAsia="仿宋_GB2312" w:cs="Times New Roman"/>
          <w:color w:val="auto"/>
          <w:kern w:val="0"/>
          <w:sz w:val="32"/>
          <w:szCs w:val="32"/>
          <w:lang w:val="en-US" w:eastAsia="zh-CN" w:bidi="ar-SA"/>
        </w:rPr>
      </w:pPr>
    </w:p>
    <w:p w14:paraId="34F4451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方正仿宋简体" w:eastAsia="仿宋_GB2312" w:cs="Times New Roman"/>
          <w:color w:val="auto"/>
          <w:kern w:val="0"/>
          <w:sz w:val="32"/>
          <w:szCs w:val="32"/>
          <w:lang w:val="en-US" w:eastAsia="zh-CN" w:bidi="ar-SA"/>
        </w:rPr>
      </w:pPr>
      <w:r>
        <w:rPr>
          <w:rFonts w:hint="eastAsia" w:ascii="仿宋_GB2312" w:hAnsi="方正仿宋简体" w:eastAsia="仿宋_GB2312" w:cs="Times New Roman"/>
          <w:color w:val="auto"/>
          <w:kern w:val="0"/>
          <w:sz w:val="32"/>
          <w:szCs w:val="32"/>
          <w:lang w:val="en-US" w:eastAsia="zh-CN" w:bidi="ar-SA"/>
        </w:rPr>
        <w:t>（此件主动公开）</w:t>
      </w:r>
    </w:p>
    <w:p w14:paraId="23D407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6A57A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吉林省长期护理保险失能等级评估机构</w:t>
      </w:r>
    </w:p>
    <w:p w14:paraId="5E3D9E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方正小标宋简体" w:eastAsia="方正小标宋简体"/>
          <w:color w:val="auto"/>
          <w:sz w:val="44"/>
          <w:szCs w:val="44"/>
        </w:rPr>
        <w:t>定点管理实施细则（试行）</w:t>
      </w:r>
    </w:p>
    <w:p w14:paraId="02F6AD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p>
    <w:p w14:paraId="39FDB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第一章 总</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则</w:t>
      </w:r>
    </w:p>
    <w:p w14:paraId="5570E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第一条</w:t>
      </w:r>
      <w:r>
        <w:rPr>
          <w:rFonts w:hint="eastAsia" w:ascii="仿宋_GB2312" w:eastAsia="仿宋_GB2312"/>
          <w:color w:val="auto"/>
          <w:sz w:val="32"/>
          <w:szCs w:val="32"/>
        </w:rPr>
        <w:t xml:space="preserve"> 为加强我省长期护理保险（以下简称“长护险”）失能等级评估机构定点管理，统一规范评估机构准入、管理、退出机制，保障参保人合法权益，根据《国家医保局 财政部关于印发〈长期护理保险失能等级评估管理办法（试行）〉的通知》（医保发〔2023〕29号）</w:t>
      </w:r>
      <w:r>
        <w:rPr>
          <w:rFonts w:hint="eastAsia" w:ascii="仿宋_GB2312" w:eastAsia="仿宋_GB2312"/>
          <w:color w:val="auto"/>
          <w:sz w:val="32"/>
          <w:szCs w:val="32"/>
          <w:lang w:eastAsia="zh-CN"/>
        </w:rPr>
        <w:t>和</w:t>
      </w:r>
      <w:r>
        <w:rPr>
          <w:rFonts w:hint="eastAsia" w:ascii="仿宋_GB2312" w:eastAsia="仿宋_GB2312"/>
          <w:color w:val="auto"/>
          <w:sz w:val="32"/>
          <w:szCs w:val="32"/>
        </w:rPr>
        <w:t>《国家医疗保障局关于印发〈长期护理保险失能等级评估机构定点管理办法（试行）〉的通知》（医保发〔2024〕13号）等有关规定，结合我省实际，制定本实施细则。</w:t>
      </w:r>
    </w:p>
    <w:p w14:paraId="6726C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rPr>
      </w:pPr>
      <w:r>
        <w:rPr>
          <w:rFonts w:hint="eastAsia" w:ascii="楷体_GB2312" w:hAnsi="楷体_GB2312" w:eastAsia="楷体_GB2312" w:cs="楷体_GB2312"/>
          <w:color w:val="auto"/>
          <w:sz w:val="32"/>
          <w:szCs w:val="32"/>
        </w:rPr>
        <w:t>第二条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本细则适用于吉林省长护险失能等级评估机构定点管理工作。</w:t>
      </w:r>
    </w:p>
    <w:p w14:paraId="561B7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第三条</w:t>
      </w: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长护险失能等级评估机构实行定点管理。定点评估机构是指纳入统筹地区长护险失能等级评估机构定点管理，依照本细则和其他有关规定对长护险参保人开展失能等级评估的机构。</w:t>
      </w:r>
    </w:p>
    <w:p w14:paraId="7678D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第四条</w:t>
      </w:r>
      <w:r>
        <w:rPr>
          <w:rFonts w:hint="eastAsia" w:ascii="仿宋_GB2312" w:eastAsia="仿宋_GB2312"/>
          <w:color w:val="auto"/>
          <w:sz w:val="32"/>
          <w:szCs w:val="32"/>
        </w:rPr>
        <w:t xml:space="preserve"> 鼓励支持发展独立的评估机构。暂不具备实施条件的，可依托医疗机构、劳动能力鉴定机构、商业保险机构等实施评估。随长护险制度健全完善，逐步向独立的评估机构实施评估形式过渡。</w:t>
      </w:r>
    </w:p>
    <w:p w14:paraId="14C8A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 w:hAnsi="楷体" w:eastAsia="楷体" w:cs="楷体"/>
          <w:color w:val="auto"/>
          <w:sz w:val="32"/>
          <w:szCs w:val="32"/>
        </w:rPr>
        <w:t>第五条</w:t>
      </w:r>
      <w:r>
        <w:rPr>
          <w:rFonts w:hint="eastAsia" w:ascii="仿宋_GB2312" w:eastAsia="仿宋_GB2312"/>
          <w:color w:val="auto"/>
          <w:sz w:val="32"/>
          <w:szCs w:val="32"/>
        </w:rPr>
        <w:t xml:space="preserve"> 坚持以人民为中心，遵循公平公正、规范透明、权责明晰、动态平衡的原则，不断提升定点管理效能，促进评估行业有序发展，为参保人提供客观公正的评估服务。</w:t>
      </w:r>
    </w:p>
    <w:p w14:paraId="6FE0A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第六条</w:t>
      </w:r>
      <w:r>
        <w:rPr>
          <w:rFonts w:hint="eastAsia" w:ascii="仿宋_GB2312" w:eastAsia="仿宋_GB2312"/>
          <w:color w:val="auto"/>
          <w:sz w:val="32"/>
          <w:szCs w:val="32"/>
        </w:rPr>
        <w:t xml:space="preserve"> 省级医保行政部门负责统一规范全省长护险评估机构准入、管理、退出机制，监督和指导各统筹区落实相关规定。</w:t>
      </w:r>
      <w:r>
        <w:rPr>
          <w:rFonts w:hint="eastAsia" w:ascii="仿宋_GB2312" w:eastAsia="仿宋_GB2312"/>
          <w:color w:val="auto"/>
          <w:sz w:val="32"/>
          <w:szCs w:val="32"/>
          <w:lang w:eastAsia="zh-CN"/>
        </w:rPr>
        <w:t>各</w:t>
      </w:r>
      <w:r>
        <w:rPr>
          <w:rFonts w:hint="eastAsia" w:ascii="仿宋_GB2312" w:eastAsia="仿宋_GB2312"/>
          <w:color w:val="auto"/>
          <w:sz w:val="32"/>
          <w:szCs w:val="32"/>
        </w:rPr>
        <w:t>统筹区医保行政部门在申请受理、审核确定、协议</w:t>
      </w:r>
      <w:r>
        <w:rPr>
          <w:rFonts w:hint="eastAsia" w:ascii="仿宋_GB2312" w:eastAsia="仿宋_GB2312"/>
          <w:color w:val="auto"/>
          <w:sz w:val="32"/>
          <w:szCs w:val="32"/>
          <w:lang w:eastAsia="zh-CN"/>
        </w:rPr>
        <w:t>订立</w:t>
      </w:r>
      <w:r>
        <w:rPr>
          <w:rFonts w:hint="eastAsia" w:ascii="仿宋_GB2312" w:eastAsia="仿宋_GB2312"/>
          <w:color w:val="auto"/>
          <w:sz w:val="32"/>
          <w:szCs w:val="32"/>
        </w:rPr>
        <w:t>、协议履行、协议解除等环节对医保经办机构、定点评估机构等的有关行为进行监督。</w:t>
      </w:r>
    </w:p>
    <w:p w14:paraId="17DCC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省级医保经办机构负责拟定全省评估服务协议范本，指导各统筹区做好评估机构定点管理服务工作。</w:t>
      </w:r>
      <w:r>
        <w:rPr>
          <w:rFonts w:hint="eastAsia" w:ascii="仿宋_GB2312" w:eastAsia="仿宋_GB2312"/>
          <w:color w:val="auto"/>
          <w:sz w:val="32"/>
          <w:szCs w:val="32"/>
          <w:lang w:eastAsia="zh-CN"/>
        </w:rPr>
        <w:t>各</w:t>
      </w:r>
      <w:r>
        <w:rPr>
          <w:rFonts w:hint="eastAsia" w:ascii="仿宋_GB2312" w:eastAsia="仿宋_GB2312"/>
          <w:color w:val="auto"/>
          <w:sz w:val="32"/>
          <w:szCs w:val="32"/>
        </w:rPr>
        <w:t>统筹区医保经办机构负责确定定点评估机构，签订评估服务协议，依评估服务协议进行</w:t>
      </w:r>
      <w:r>
        <w:rPr>
          <w:rFonts w:hint="eastAsia" w:ascii="仿宋_GB2312" w:eastAsia="仿宋_GB2312"/>
          <w:color w:val="auto"/>
          <w:sz w:val="32"/>
          <w:szCs w:val="32"/>
          <w:lang w:eastAsia="zh-CN"/>
        </w:rPr>
        <w:t>定点</w:t>
      </w:r>
      <w:r>
        <w:rPr>
          <w:rFonts w:hint="eastAsia" w:ascii="仿宋_GB2312" w:eastAsia="仿宋_GB2312"/>
          <w:color w:val="auto"/>
          <w:sz w:val="32"/>
          <w:szCs w:val="32"/>
        </w:rPr>
        <w:t>管理。</w:t>
      </w:r>
    </w:p>
    <w:p w14:paraId="0BE9C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第二章 定点评估机构确定</w:t>
      </w:r>
    </w:p>
    <w:p w14:paraId="2307B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第七条</w:t>
      </w:r>
      <w:r>
        <w:rPr>
          <w:rFonts w:hint="eastAsia" w:ascii="仿宋_GB2312" w:eastAsia="仿宋_GB2312"/>
          <w:color w:val="auto"/>
          <w:sz w:val="32"/>
          <w:szCs w:val="32"/>
        </w:rPr>
        <w:t xml:space="preserve"> 定点评估机构</w:t>
      </w:r>
      <w:r>
        <w:rPr>
          <w:rFonts w:hint="eastAsia" w:ascii="仿宋_GB2312" w:eastAsia="仿宋_GB2312"/>
          <w:color w:val="auto"/>
          <w:sz w:val="32"/>
          <w:szCs w:val="32"/>
          <w:lang w:eastAsia="zh-CN"/>
        </w:rPr>
        <w:t>应</w:t>
      </w:r>
      <w:r>
        <w:rPr>
          <w:rFonts w:hint="eastAsia" w:ascii="仿宋_GB2312" w:eastAsia="仿宋_GB2312"/>
          <w:color w:val="auto"/>
          <w:sz w:val="32"/>
          <w:szCs w:val="32"/>
        </w:rPr>
        <w:t>具备专业性、稳定性、权威性</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实行属地管理</w:t>
      </w:r>
      <w:r>
        <w:rPr>
          <w:rFonts w:hint="eastAsia" w:ascii="仿宋_GB2312" w:eastAsia="仿宋_GB2312"/>
          <w:color w:val="auto"/>
          <w:sz w:val="32"/>
          <w:szCs w:val="32"/>
        </w:rPr>
        <w:t>。申请成为定点评估机构，应当同时具备以下基本条件：</w:t>
      </w:r>
    </w:p>
    <w:p w14:paraId="7A372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已依法登记注册的独立评估机构，或</w:t>
      </w:r>
      <w:r>
        <w:rPr>
          <w:rFonts w:hint="eastAsia" w:ascii="仿宋_GB2312" w:eastAsia="仿宋_GB2312"/>
          <w:color w:val="auto"/>
          <w:sz w:val="32"/>
          <w:szCs w:val="32"/>
        </w:rPr>
        <w:t>具备</w:t>
      </w:r>
      <w:r>
        <w:rPr>
          <w:rFonts w:hint="eastAsia" w:ascii="仿宋_GB2312" w:eastAsia="仿宋_GB2312"/>
          <w:b w:val="0"/>
          <w:bCs w:val="0"/>
          <w:color w:val="auto"/>
          <w:sz w:val="32"/>
          <w:szCs w:val="32"/>
        </w:rPr>
        <w:t>医保定点资格的</w:t>
      </w:r>
      <w:r>
        <w:rPr>
          <w:rFonts w:hint="eastAsia" w:ascii="仿宋_GB2312" w:eastAsia="仿宋_GB2312"/>
          <w:color w:val="auto"/>
          <w:sz w:val="32"/>
          <w:szCs w:val="32"/>
        </w:rPr>
        <w:t>二级（含）以上医疗机构</w:t>
      </w:r>
      <w:r>
        <w:rPr>
          <w:rFonts w:hint="eastAsia" w:ascii="仿宋_GB2312" w:eastAsia="仿宋_GB2312"/>
          <w:color w:val="auto"/>
          <w:sz w:val="32"/>
          <w:szCs w:val="32"/>
          <w:lang w:eastAsia="zh-CN"/>
        </w:rPr>
        <w:t>、乡镇卫生院和社区卫生服务中心</w:t>
      </w:r>
      <w:r>
        <w:rPr>
          <w:rFonts w:hint="eastAsia" w:ascii="仿宋_GB2312" w:eastAsia="仿宋_GB2312"/>
          <w:color w:val="auto"/>
          <w:sz w:val="32"/>
          <w:szCs w:val="32"/>
        </w:rPr>
        <w:t>，</w:t>
      </w:r>
      <w:r>
        <w:rPr>
          <w:rFonts w:hint="eastAsia" w:ascii="仿宋_GB2312" w:eastAsia="仿宋_GB2312"/>
          <w:color w:val="auto"/>
          <w:sz w:val="32"/>
          <w:szCs w:val="32"/>
          <w:lang w:eastAsia="zh-CN"/>
        </w:rPr>
        <w:t>或</w:t>
      </w:r>
      <w:r>
        <w:rPr>
          <w:rFonts w:hint="eastAsia" w:ascii="仿宋_GB2312" w:eastAsia="仿宋_GB2312"/>
          <w:color w:val="auto"/>
          <w:sz w:val="32"/>
          <w:szCs w:val="32"/>
        </w:rPr>
        <w:t>具备劳动能力鉴定资质的机构，</w:t>
      </w:r>
      <w:r>
        <w:rPr>
          <w:rFonts w:hint="eastAsia" w:ascii="仿宋_GB2312" w:eastAsia="仿宋_GB2312"/>
          <w:color w:val="auto"/>
          <w:sz w:val="32"/>
          <w:szCs w:val="32"/>
          <w:lang w:eastAsia="zh-CN"/>
        </w:rPr>
        <w:t>或</w:t>
      </w:r>
      <w:r>
        <w:rPr>
          <w:rFonts w:hint="eastAsia" w:ascii="仿宋_GB2312" w:eastAsia="仿宋_GB2312"/>
          <w:color w:val="auto"/>
          <w:sz w:val="32"/>
          <w:szCs w:val="32"/>
        </w:rPr>
        <w:t>具备健康保险经营资质的商业保险机构</w:t>
      </w:r>
      <w:r>
        <w:rPr>
          <w:rFonts w:hint="eastAsia" w:ascii="仿宋_GB2312" w:eastAsia="仿宋_GB2312"/>
          <w:color w:val="auto"/>
          <w:sz w:val="32"/>
          <w:szCs w:val="32"/>
          <w:lang w:eastAsia="zh-CN"/>
        </w:rPr>
        <w:t>。</w:t>
      </w:r>
      <w:r>
        <w:rPr>
          <w:rFonts w:hint="eastAsia" w:ascii="仿宋_GB2312" w:eastAsia="仿宋_GB2312"/>
          <w:color w:val="auto"/>
          <w:sz w:val="32"/>
          <w:szCs w:val="32"/>
        </w:rPr>
        <w:t>能够开展失能等级评估工作，正式运营至少3个月</w:t>
      </w:r>
      <w:r>
        <w:rPr>
          <w:rFonts w:hint="eastAsia" w:ascii="仿宋_GB2312" w:eastAsia="仿宋_GB2312"/>
          <w:color w:val="auto"/>
          <w:sz w:val="32"/>
          <w:szCs w:val="32"/>
          <w:lang w:eastAsia="zh-CN"/>
        </w:rPr>
        <w:t>。</w:t>
      </w:r>
    </w:p>
    <w:p w14:paraId="1C3FD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（二）具备与评估工作相适应的专业化人员队伍，评估人员应符合</w:t>
      </w:r>
      <w:r>
        <w:rPr>
          <w:rFonts w:hint="eastAsia" w:ascii="仿宋_GB2312" w:eastAsia="仿宋_GB2312"/>
          <w:color w:val="auto"/>
          <w:sz w:val="32"/>
          <w:szCs w:val="32"/>
          <w:lang w:eastAsia="zh-CN"/>
        </w:rPr>
        <w:t>国家</w:t>
      </w:r>
      <w:r>
        <w:rPr>
          <w:rFonts w:hint="eastAsia" w:ascii="仿宋_GB2312" w:eastAsia="仿宋_GB2312"/>
          <w:b w:val="0"/>
          <w:bCs w:val="0"/>
          <w:color w:val="auto"/>
          <w:sz w:val="32"/>
          <w:szCs w:val="32"/>
        </w:rPr>
        <w:t>长护险失能等级评估管理办法相关</w:t>
      </w:r>
      <w:r>
        <w:rPr>
          <w:rFonts w:hint="eastAsia" w:ascii="仿宋_GB2312" w:eastAsia="仿宋_GB2312"/>
          <w:color w:val="auto"/>
          <w:sz w:val="32"/>
          <w:szCs w:val="32"/>
        </w:rPr>
        <w:t>要求</w:t>
      </w:r>
      <w:r>
        <w:rPr>
          <w:rFonts w:hint="eastAsia" w:ascii="仿宋_GB2312" w:eastAsia="仿宋_GB2312"/>
          <w:color w:val="auto"/>
          <w:sz w:val="32"/>
          <w:szCs w:val="32"/>
          <w:lang w:eastAsia="zh-CN"/>
        </w:rPr>
        <w:t>。</w:t>
      </w:r>
    </w:p>
    <w:p w14:paraId="3DF92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（三）具有固定的办公场所，配备符合评估服务协议要求的软、硬件设备和相应管理维护人员</w:t>
      </w:r>
      <w:r>
        <w:rPr>
          <w:rFonts w:hint="eastAsia" w:ascii="仿宋_GB2312" w:eastAsia="仿宋_GB2312"/>
          <w:color w:val="auto"/>
          <w:sz w:val="32"/>
          <w:szCs w:val="32"/>
          <w:lang w:eastAsia="zh-CN"/>
        </w:rPr>
        <w:t>。</w:t>
      </w:r>
    </w:p>
    <w:p w14:paraId="1B1AB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（四）具备使用全国统一的医保信息平台长护险相关功能的条件</w:t>
      </w:r>
      <w:r>
        <w:rPr>
          <w:rFonts w:hint="eastAsia" w:ascii="仿宋_GB2312" w:eastAsia="仿宋_GB2312"/>
          <w:color w:val="auto"/>
          <w:sz w:val="32"/>
          <w:szCs w:val="32"/>
          <w:lang w:eastAsia="zh-CN"/>
        </w:rPr>
        <w:t>。</w:t>
      </w:r>
    </w:p>
    <w:p w14:paraId="6B9D7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（五）具有符合评估服务协议要求的服务管理、财务管理、信息统计、内控管理、人员管理、档案管理等制度</w:t>
      </w:r>
      <w:r>
        <w:rPr>
          <w:rFonts w:hint="eastAsia" w:ascii="仿宋_GB2312" w:eastAsia="仿宋_GB2312"/>
          <w:color w:val="auto"/>
          <w:sz w:val="32"/>
          <w:szCs w:val="32"/>
          <w:lang w:eastAsia="zh-CN"/>
        </w:rPr>
        <w:t>。</w:t>
      </w:r>
    </w:p>
    <w:p w14:paraId="13FCC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（六）符合法律法规和省级及以上医疗保障行政部门规定的其他条件。</w:t>
      </w:r>
    </w:p>
    <w:p w14:paraId="37E1E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符合条件并愿意承担长护险失能等级评估的机构可向当地医疗保障经办机构提出定点申请，填报《长期护理保险失能等级评估机构申请表》（见附件），并如实提供以下材料：</w:t>
      </w:r>
    </w:p>
    <w:p w14:paraId="7910E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（一）事业单位法人证书、民办非企业单位登记证书或营业执照等证照；执业许可证。</w:t>
      </w:r>
    </w:p>
    <w:p w14:paraId="604AB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（二）经营用房产权证或租赁合同等相关资料。</w:t>
      </w:r>
    </w:p>
    <w:p w14:paraId="46E53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（三）法定代表人、主要负责人或实际控制人身份证。</w:t>
      </w:r>
    </w:p>
    <w:p w14:paraId="613B0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（四）评估专业人员花名册及专业技术职称任职资格证书等相关材料。</w:t>
      </w:r>
    </w:p>
    <w:p w14:paraId="2ABAC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（五）具备使用全国统一的医保信息平台长期护理保险相关功能的材料。</w:t>
      </w:r>
    </w:p>
    <w:p w14:paraId="73F4A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（六）与医保相对应的服务管理、财务管理、信息统计、内控管理、人员管理、档案管理等制度。</w:t>
      </w:r>
    </w:p>
    <w:p w14:paraId="14AB5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（七）统筹区医保经办机构按规定要求提供的其他材料。</w:t>
      </w:r>
    </w:p>
    <w:p w14:paraId="4D0A6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b w:val="0"/>
          <w:bCs w:val="0"/>
          <w:color w:val="auto"/>
          <w:sz w:val="32"/>
          <w:szCs w:val="32"/>
        </w:rPr>
        <w:t>第九条</w:t>
      </w:r>
      <w:r>
        <w:rPr>
          <w:rFonts w:hint="eastAsia" w:ascii="仿宋_GB2312" w:eastAsia="仿宋_GB2312"/>
          <w:b w:val="0"/>
          <w:bCs w:val="0"/>
          <w:color w:val="auto"/>
          <w:sz w:val="32"/>
          <w:szCs w:val="32"/>
        </w:rPr>
        <w:t xml:space="preserve"> </w:t>
      </w:r>
      <w:r>
        <w:rPr>
          <w:rFonts w:hint="eastAsia" w:ascii="仿宋_GB2312" w:eastAsia="仿宋_GB2312"/>
          <w:b w:val="0"/>
          <w:bCs w:val="0"/>
          <w:color w:val="auto"/>
          <w:sz w:val="32"/>
          <w:szCs w:val="32"/>
          <w:lang w:eastAsia="zh-CN"/>
        </w:rPr>
        <w:t>医保经办机构应根据统筹区资源规划有序组织长护险评估机构准入工作，</w:t>
      </w:r>
      <w:r>
        <w:rPr>
          <w:rFonts w:hint="eastAsia" w:ascii="仿宋_GB2312" w:eastAsia="仿宋_GB2312"/>
          <w:color w:val="auto"/>
          <w:sz w:val="32"/>
          <w:szCs w:val="32"/>
        </w:rPr>
        <w:t>评估机构可自愿向统筹地区医保经办机构提出定点申请。医保经办机构受理申请后</w:t>
      </w:r>
      <w:r>
        <w:rPr>
          <w:rFonts w:hint="eastAsia" w:ascii="仿宋_GB2312" w:eastAsia="仿宋_GB2312"/>
          <w:color w:val="auto"/>
          <w:sz w:val="32"/>
          <w:szCs w:val="32"/>
          <w:lang w:eastAsia="zh-CN"/>
        </w:rPr>
        <w:t>，</w:t>
      </w:r>
      <w:r>
        <w:rPr>
          <w:rFonts w:hint="eastAsia" w:ascii="仿宋_GB2312" w:eastAsia="仿宋_GB2312"/>
          <w:color w:val="auto"/>
          <w:sz w:val="32"/>
          <w:szCs w:val="32"/>
        </w:rPr>
        <w:t>应及时组织初步审核。初步审核通过后，医保经办机构应</w:t>
      </w:r>
      <w:r>
        <w:rPr>
          <w:rFonts w:hint="eastAsia" w:ascii="仿宋_GB2312" w:eastAsia="仿宋_GB2312"/>
          <w:color w:val="auto"/>
          <w:sz w:val="32"/>
          <w:szCs w:val="32"/>
          <w:lang w:eastAsia="zh-CN"/>
        </w:rPr>
        <w:t>根据本细则第七条、第八条规定，</w:t>
      </w:r>
      <w:r>
        <w:rPr>
          <w:rFonts w:hint="eastAsia" w:ascii="仿宋_GB2312" w:eastAsia="仿宋_GB2312"/>
          <w:b w:val="0"/>
          <w:bCs w:val="0"/>
          <w:color w:val="auto"/>
          <w:sz w:val="32"/>
          <w:szCs w:val="32"/>
        </w:rPr>
        <w:t>采</w:t>
      </w:r>
      <w:r>
        <w:rPr>
          <w:rFonts w:hint="eastAsia" w:ascii="仿宋_GB2312" w:eastAsia="仿宋_GB2312"/>
          <w:color w:val="auto"/>
          <w:sz w:val="32"/>
          <w:szCs w:val="32"/>
        </w:rPr>
        <w:t>取书面查验、现场核查、集体评议等形式，组织对申请机构进行综合审核，并将审核结果报同级医保行政部门备案。</w:t>
      </w:r>
    </w:p>
    <w:p w14:paraId="23B238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第十条</w:t>
      </w:r>
      <w:r>
        <w:rPr>
          <w:rFonts w:hint="eastAsia" w:ascii="仿宋_GB2312" w:eastAsia="仿宋_GB2312"/>
          <w:color w:val="auto"/>
          <w:sz w:val="32"/>
          <w:szCs w:val="32"/>
        </w:rPr>
        <w:t xml:space="preserve"> 通过医保经办机构审核的，应向社会公示。经公示无异议的，可签订评估服务协议，向社会公布定点评估机构名单，并报同级医保行政部门备案。</w:t>
      </w:r>
    </w:p>
    <w:p w14:paraId="1E112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十一</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有下列情形之一的，不予受理评估机构申请：</w:t>
      </w:r>
    </w:p>
    <w:p w14:paraId="49DC1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（一）采取伪造、篡改申请材料等不正当手段申请定点评估机构，自发现之日起未满3年的；</w:t>
      </w:r>
    </w:p>
    <w:p w14:paraId="77C5E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（二）因违法违规解除</w:t>
      </w:r>
      <w:r>
        <w:rPr>
          <w:rFonts w:hint="eastAsia" w:ascii="仿宋_GB2312" w:eastAsia="仿宋_GB2312"/>
          <w:color w:val="auto"/>
          <w:sz w:val="32"/>
          <w:szCs w:val="32"/>
          <w:lang w:eastAsia="zh-CN"/>
        </w:rPr>
        <w:t>服务协议</w:t>
      </w:r>
      <w:r>
        <w:rPr>
          <w:rFonts w:hint="eastAsia" w:ascii="仿宋_GB2312" w:eastAsia="仿宋_GB2312"/>
          <w:color w:val="auto"/>
          <w:sz w:val="32"/>
          <w:szCs w:val="32"/>
        </w:rPr>
        <w:t>未满3年或已满3年但未完全履行行政处罚法律责任的；</w:t>
      </w:r>
    </w:p>
    <w:p w14:paraId="3167E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（三）因严重违反服务协议约定而被解除协议未满1年或已满1年但未完全履行违约责任的；</w:t>
      </w:r>
    </w:p>
    <w:p w14:paraId="64D67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（四）机构被列入失信单位的，法定代表人、主要负责人或实际控制人被列入失信人名单的，评估人员被列入失信人名单的；</w:t>
      </w:r>
    </w:p>
    <w:p w14:paraId="40734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（五）同时承担依评估结论而开展的长护</w:t>
      </w:r>
      <w:r>
        <w:rPr>
          <w:rFonts w:hint="eastAsia" w:ascii="仿宋_GB2312" w:eastAsia="仿宋_GB2312"/>
          <w:color w:val="auto"/>
          <w:sz w:val="32"/>
          <w:szCs w:val="32"/>
          <w:lang w:eastAsia="zh-CN"/>
        </w:rPr>
        <w:t>险</w:t>
      </w:r>
      <w:r>
        <w:rPr>
          <w:rFonts w:hint="eastAsia" w:ascii="仿宋_GB2312" w:eastAsia="仿宋_GB2312"/>
          <w:color w:val="auto"/>
          <w:sz w:val="32"/>
          <w:szCs w:val="32"/>
        </w:rPr>
        <w:t>服务工作，或同时承担长护险经办工作；</w:t>
      </w:r>
    </w:p>
    <w:p w14:paraId="6B13C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仿宋_GB2312" w:eastAsia="仿宋_GB2312"/>
          <w:color w:val="auto"/>
          <w:sz w:val="32"/>
          <w:szCs w:val="32"/>
        </w:rPr>
        <w:t>（六）法律法规规定的其他不予受理的情形。</w:t>
      </w:r>
    </w:p>
    <w:p w14:paraId="072DE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统筹地区医保行政部门应综合考虑失能人员总体规模、评估行业发展实际、管理服务能力等，对定点评估机构准入数量进行合理规划，引导评估行业规范有序发展。</w:t>
      </w:r>
    </w:p>
    <w:p w14:paraId="43091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楷体_GB2312" w:hAnsi="楷体_GB2312" w:eastAsia="楷体_GB2312" w:cs="楷体_GB2312"/>
          <w:color w:val="auto"/>
          <w:sz w:val="32"/>
          <w:szCs w:val="32"/>
          <w:lang w:eastAsia="zh-CN"/>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auto"/>
          <w:sz w:val="32"/>
          <w:szCs w:val="32"/>
          <w:lang w:eastAsia="zh-CN"/>
        </w:rPr>
        <w:t>地市级医保经办机构可根据工作实际，授权县级医保经办机构组织评估机构申请受理、评估、签订协议和日常管理等工作。</w:t>
      </w:r>
    </w:p>
    <w:p w14:paraId="38374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第十四条 </w:t>
      </w:r>
      <w:r>
        <w:rPr>
          <w:rFonts w:hint="eastAsia" w:ascii="仿宋_GB2312" w:hAnsi="仿宋_GB2312" w:eastAsia="仿宋_GB2312" w:cs="仿宋_GB2312"/>
          <w:color w:val="auto"/>
          <w:sz w:val="32"/>
          <w:szCs w:val="32"/>
          <w:lang w:eastAsia="zh-CN"/>
        </w:rPr>
        <w:t>省本级与长春市、延边州本级与延吉市医保经办机构，应遵循定点资格同城互认的原则，互认准入评估结果。</w:t>
      </w:r>
    </w:p>
    <w:p w14:paraId="060DB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第三章 定点评估机构运行管理</w:t>
      </w:r>
    </w:p>
    <w:p w14:paraId="57502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定点评估机构应当遵守长护险有关政策规定，按照评估服务协议要求，加强内部建设，优化服务，提升人员素质能力，确保评估质量和评估结论准确性。</w:t>
      </w:r>
    </w:p>
    <w:p w14:paraId="39CBE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定点评估机构应建立健全内部质量控制制度，形成部门之间、岗位之间和业务之间相互制衡、相互监督的内控机制。</w:t>
      </w:r>
    </w:p>
    <w:p w14:paraId="5F199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第十</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定点评估机构应建立人员管理制度，加强日常管理，规范评估工作行为。按规定组织评估人员参加业务培训，定期组织内部培训，确保评估人员熟悉长护险相关政策、掌握评估技能。</w:t>
      </w:r>
    </w:p>
    <w:p w14:paraId="2A1D58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auto"/>
          <w:spacing w:val="0"/>
          <w:sz w:val="31"/>
          <w:szCs w:val="31"/>
          <w:shd w:val="clear" w:fill="FFFFFF"/>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十八</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定点评估机构应建立评估档案管理制度，按要求做好失能等级评估申请材料、评估过程相关记录</w:t>
      </w:r>
      <w:r>
        <w:rPr>
          <w:rFonts w:hint="eastAsia" w:ascii="仿宋_GB2312" w:eastAsia="仿宋_GB2312"/>
          <w:color w:val="auto"/>
          <w:sz w:val="32"/>
          <w:szCs w:val="32"/>
          <w:lang w:eastAsia="zh-CN"/>
        </w:rPr>
        <w:t>（含视频影像）</w:t>
      </w:r>
      <w:r>
        <w:rPr>
          <w:rFonts w:hint="eastAsia" w:ascii="仿宋_GB2312" w:eastAsia="仿宋_GB2312"/>
          <w:color w:val="auto"/>
          <w:sz w:val="32"/>
          <w:szCs w:val="32"/>
        </w:rPr>
        <w:t>、评估结论书、内部管理控制相关记录等的</w:t>
      </w:r>
      <w:r>
        <w:rPr>
          <w:rFonts w:hint="eastAsia" w:ascii="仿宋_GB2312" w:eastAsia="仿宋_GB2312"/>
          <w:color w:val="auto"/>
          <w:sz w:val="32"/>
          <w:szCs w:val="32"/>
          <w:lang w:eastAsia="zh-CN"/>
        </w:rPr>
        <w:t>纸质及电子</w:t>
      </w:r>
      <w:r>
        <w:rPr>
          <w:rFonts w:hint="eastAsia" w:ascii="仿宋_GB2312" w:eastAsia="仿宋_GB2312"/>
          <w:color w:val="auto"/>
          <w:sz w:val="32"/>
          <w:szCs w:val="32"/>
        </w:rPr>
        <w:t>档案留存。评估服务协议期限届满或协议终止前应及时将完整档案移交统筹地区医保经办机构。</w:t>
      </w:r>
      <w:r>
        <w:rPr>
          <w:rFonts w:hint="eastAsia" w:ascii="仿宋_GB2312" w:hAnsi="微软雅黑" w:eastAsia="仿宋_GB2312" w:cs="仿宋_GB2312"/>
          <w:i w:val="0"/>
          <w:iCs w:val="0"/>
          <w:caps w:val="0"/>
          <w:color w:val="auto"/>
          <w:spacing w:val="0"/>
          <w:sz w:val="31"/>
          <w:szCs w:val="31"/>
          <w:shd w:val="clear" w:fill="FFFFFF"/>
        </w:rPr>
        <w:t>鼓励定点评估机构同步建立电子档案管理系统。</w:t>
      </w:r>
    </w:p>
    <w:p w14:paraId="242697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auto"/>
          <w:spacing w:val="0"/>
          <w:sz w:val="31"/>
          <w:szCs w:val="31"/>
          <w:shd w:val="clear" w:fill="FFFFFF"/>
        </w:rPr>
      </w:pPr>
      <w:r>
        <w:rPr>
          <w:rFonts w:hint="eastAsia" w:ascii="楷体_GB2312" w:hAnsi="楷体_GB2312" w:eastAsia="楷体_GB2312" w:cs="楷体_GB2312"/>
          <w:i w:val="0"/>
          <w:iCs w:val="0"/>
          <w:caps w:val="0"/>
          <w:color w:val="auto"/>
          <w:spacing w:val="0"/>
          <w:sz w:val="31"/>
          <w:szCs w:val="31"/>
          <w:shd w:val="clear" w:fill="FFFFFF"/>
        </w:rPr>
        <w:t>第</w:t>
      </w:r>
      <w:r>
        <w:rPr>
          <w:rFonts w:hint="eastAsia" w:ascii="楷体_GB2312" w:hAnsi="楷体_GB2312" w:eastAsia="楷体_GB2312" w:cs="楷体_GB2312"/>
          <w:i w:val="0"/>
          <w:iCs w:val="0"/>
          <w:caps w:val="0"/>
          <w:color w:val="auto"/>
          <w:spacing w:val="0"/>
          <w:sz w:val="31"/>
          <w:szCs w:val="31"/>
          <w:shd w:val="clear" w:fill="FFFFFF"/>
          <w:lang w:eastAsia="zh-CN"/>
        </w:rPr>
        <w:t>十九</w:t>
      </w:r>
      <w:r>
        <w:rPr>
          <w:rFonts w:hint="eastAsia" w:ascii="楷体_GB2312" w:hAnsi="楷体_GB2312" w:eastAsia="楷体_GB2312" w:cs="楷体_GB2312"/>
          <w:i w:val="0"/>
          <w:iCs w:val="0"/>
          <w:caps w:val="0"/>
          <w:color w:val="auto"/>
          <w:spacing w:val="0"/>
          <w:sz w:val="31"/>
          <w:szCs w:val="31"/>
          <w:shd w:val="clear" w:fill="FFFFFF"/>
        </w:rPr>
        <w:t>条</w:t>
      </w:r>
      <w:r>
        <w:rPr>
          <w:rFonts w:hint="eastAsia" w:ascii="方正黑体_GBK" w:hAnsi="方正黑体_GBK" w:eastAsia="方正黑体_GBK" w:cs="方正黑体_GBK"/>
          <w:i w:val="0"/>
          <w:iCs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iCs w:val="0"/>
          <w:caps w:val="0"/>
          <w:color w:val="auto"/>
          <w:spacing w:val="0"/>
          <w:sz w:val="31"/>
          <w:szCs w:val="31"/>
          <w:shd w:val="clear" w:fill="FFFFFF"/>
        </w:rPr>
        <w:t>定点评估机构应建立财务管理制度，规范财务管理。加强与医疗保障经办机构账务核对工作。</w:t>
      </w:r>
    </w:p>
    <w:p w14:paraId="31A05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定点评估机构应建立长护险信息安全管理制度，明确信息安全管理责任，确保信息安全。未经医保经办机构书面同意，不得向任何机构或个人提供参保人员隐私信息（法律有规定的除外）。</w:t>
      </w:r>
    </w:p>
    <w:p w14:paraId="6F923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二十一</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定点评估机构应使用全国统一的医保信息平台长护险失能等级评估相关功能模块和长护险信息业务编码，做好定点评估机构和评估人员编码信息动态维护工作。</w:t>
      </w:r>
    </w:p>
    <w:p w14:paraId="58074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二十二</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定点评估机构应配合医保经办机构的日常检查、评估结论抽审、考核评价等工作，接受医保行政部门的监督检查，并按规定提供相关材料。</w:t>
      </w:r>
    </w:p>
    <w:p w14:paraId="076E08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auto"/>
          <w:spacing w:val="0"/>
          <w:sz w:val="31"/>
          <w:szCs w:val="31"/>
          <w:shd w:val="clear" w:fill="FFFFFF"/>
        </w:rPr>
      </w:pPr>
      <w:r>
        <w:rPr>
          <w:rFonts w:hint="eastAsia" w:ascii="楷体_GB2312" w:hAnsi="楷体_GB2312" w:eastAsia="楷体_GB2312" w:cs="楷体_GB2312"/>
          <w:i w:val="0"/>
          <w:iCs w:val="0"/>
          <w:caps w:val="0"/>
          <w:color w:val="auto"/>
          <w:spacing w:val="0"/>
          <w:sz w:val="31"/>
          <w:szCs w:val="31"/>
          <w:shd w:val="clear" w:fill="FFFFFF"/>
        </w:rPr>
        <w:t>第二十</w:t>
      </w:r>
      <w:r>
        <w:rPr>
          <w:rFonts w:hint="eastAsia" w:ascii="楷体_GB2312" w:hAnsi="楷体_GB2312" w:eastAsia="楷体_GB2312" w:cs="楷体_GB2312"/>
          <w:i w:val="0"/>
          <w:iCs w:val="0"/>
          <w:caps w:val="0"/>
          <w:color w:val="auto"/>
          <w:spacing w:val="0"/>
          <w:sz w:val="31"/>
          <w:szCs w:val="31"/>
          <w:shd w:val="clear" w:fill="FFFFFF"/>
          <w:lang w:eastAsia="zh-CN"/>
        </w:rPr>
        <w:t>三</w:t>
      </w:r>
      <w:r>
        <w:rPr>
          <w:rFonts w:hint="eastAsia" w:ascii="楷体_GB2312" w:hAnsi="楷体_GB2312" w:eastAsia="楷体_GB2312" w:cs="楷体_GB2312"/>
          <w:i w:val="0"/>
          <w:iCs w:val="0"/>
          <w:caps w:val="0"/>
          <w:color w:val="auto"/>
          <w:spacing w:val="0"/>
          <w:sz w:val="31"/>
          <w:szCs w:val="31"/>
          <w:shd w:val="clear" w:fill="FFFFFF"/>
        </w:rPr>
        <w:t>条</w:t>
      </w:r>
      <w:r>
        <w:rPr>
          <w:rFonts w:hint="eastAsia" w:ascii="方正黑体_GBK" w:hAnsi="方正黑体_GBK" w:eastAsia="方正黑体_GBK" w:cs="方正黑体_GBK"/>
          <w:i w:val="0"/>
          <w:iCs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iCs w:val="0"/>
          <w:caps w:val="0"/>
          <w:color w:val="auto"/>
          <w:spacing w:val="0"/>
          <w:sz w:val="31"/>
          <w:szCs w:val="31"/>
          <w:shd w:val="clear" w:fill="FFFFFF"/>
        </w:rPr>
        <w:t>定点评估机构应当遵守国家和地方政府有关服务价格管理的法律法规和标准规范，全面实行收费公示和费用清单制度。</w:t>
      </w:r>
    </w:p>
    <w:p w14:paraId="09E5A99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微软雅黑" w:eastAsia="仿宋_GB2312" w:cs="仿宋_GB2312"/>
          <w:i w:val="0"/>
          <w:iCs w:val="0"/>
          <w:caps w:val="0"/>
          <w:color w:val="auto"/>
          <w:spacing w:val="0"/>
          <w:sz w:val="31"/>
          <w:szCs w:val="31"/>
          <w:shd w:val="clear" w:fill="FFFFFF"/>
        </w:rPr>
      </w:pPr>
      <w:r>
        <w:rPr>
          <w:rFonts w:hint="eastAsia" w:ascii="楷体_GB2312" w:hAnsi="楷体_GB2312" w:eastAsia="楷体_GB2312" w:cs="楷体_GB2312"/>
          <w:i w:val="0"/>
          <w:iCs w:val="0"/>
          <w:caps w:val="0"/>
          <w:color w:val="auto"/>
          <w:spacing w:val="0"/>
          <w:sz w:val="31"/>
          <w:szCs w:val="31"/>
          <w:shd w:val="clear" w:fill="FFFFFF"/>
        </w:rPr>
        <w:t>第二十</w:t>
      </w:r>
      <w:r>
        <w:rPr>
          <w:rFonts w:hint="eastAsia" w:ascii="楷体_GB2312" w:hAnsi="楷体_GB2312" w:eastAsia="楷体_GB2312" w:cs="楷体_GB2312"/>
          <w:i w:val="0"/>
          <w:iCs w:val="0"/>
          <w:caps w:val="0"/>
          <w:color w:val="auto"/>
          <w:spacing w:val="0"/>
          <w:sz w:val="31"/>
          <w:szCs w:val="31"/>
          <w:shd w:val="clear" w:fill="FFFFFF"/>
          <w:lang w:eastAsia="zh-CN"/>
        </w:rPr>
        <w:t>四</w:t>
      </w:r>
      <w:r>
        <w:rPr>
          <w:rFonts w:hint="eastAsia" w:ascii="楷体_GB2312" w:hAnsi="楷体_GB2312" w:eastAsia="楷体_GB2312" w:cs="楷体_GB2312"/>
          <w:i w:val="0"/>
          <w:iCs w:val="0"/>
          <w:caps w:val="0"/>
          <w:color w:val="auto"/>
          <w:spacing w:val="0"/>
          <w:sz w:val="31"/>
          <w:szCs w:val="31"/>
          <w:shd w:val="clear" w:fill="FFFFFF"/>
        </w:rPr>
        <w:t>条</w:t>
      </w:r>
      <w:r>
        <w:rPr>
          <w:rFonts w:hint="eastAsia" w:ascii="方正黑体_GBK" w:hAnsi="方正黑体_GBK" w:eastAsia="方正黑体_GBK" w:cs="方正黑体_GBK"/>
          <w:i w:val="0"/>
          <w:iCs w:val="0"/>
          <w:caps w:val="0"/>
          <w:color w:val="auto"/>
          <w:spacing w:val="0"/>
          <w:sz w:val="31"/>
          <w:szCs w:val="31"/>
          <w:shd w:val="clear" w:fill="FFFFFF"/>
          <w:lang w:val="en-US" w:eastAsia="zh-CN"/>
        </w:rPr>
        <w:t xml:space="preserve"> </w:t>
      </w:r>
      <w:r>
        <w:rPr>
          <w:rFonts w:hint="eastAsia" w:ascii="仿宋_GB2312" w:eastAsia="仿宋_GB2312"/>
          <w:color w:val="auto"/>
          <w:sz w:val="32"/>
          <w:szCs w:val="32"/>
        </w:rPr>
        <w:t>定点评估机构为医疗机构的，</w:t>
      </w:r>
      <w:r>
        <w:rPr>
          <w:rFonts w:hint="eastAsia" w:ascii="仿宋_GB2312" w:eastAsia="仿宋_GB2312"/>
          <w:color w:val="auto"/>
          <w:sz w:val="32"/>
          <w:szCs w:val="32"/>
          <w:lang w:eastAsia="zh-CN"/>
        </w:rPr>
        <w:t>应</w:t>
      </w:r>
      <w:r>
        <w:rPr>
          <w:rFonts w:hint="eastAsia" w:ascii="仿宋_GB2312" w:eastAsia="仿宋_GB2312"/>
          <w:color w:val="auto"/>
          <w:sz w:val="32"/>
          <w:szCs w:val="32"/>
        </w:rPr>
        <w:t>鼓励支持由其管理的家庭医生参与失能等级评估，充分发挥家庭医生熟悉了解掌握签约居民健康与失能状态的优势</w:t>
      </w:r>
      <w:r>
        <w:rPr>
          <w:rFonts w:hint="eastAsia" w:ascii="仿宋_GB2312" w:eastAsia="仿宋_GB2312"/>
          <w:color w:val="auto"/>
          <w:sz w:val="32"/>
          <w:szCs w:val="32"/>
          <w:lang w:eastAsia="zh-CN"/>
        </w:rPr>
        <w:t>。</w:t>
      </w:r>
    </w:p>
    <w:p w14:paraId="2A0F3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二十五</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定点评估机构的名称、法定代表人、主要负责人或实际控制人、注册地址、银行账户、经营范围、机构性质等重大信息变更时，应自有关部门批准之日起30个工作日内向医保经办机构提出变更申请。其他一般信息变更应及时书面告知。信息变更后，定点评估机构不符合本规定的，应当解除评估服务协议。</w:t>
      </w:r>
    </w:p>
    <w:p w14:paraId="23CD57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第四章 监督管理</w:t>
      </w:r>
    </w:p>
    <w:p w14:paraId="17ADC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第二十</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统筹地区医保经办机构与定点评估机构签订评估服务协议，应明确双方的责任、权利和义务，明确定点评估机构退出规则，并明确评估服务协议中止、解除等措施的适用情形、具体处理程序要求等。</w:t>
      </w:r>
    </w:p>
    <w:p w14:paraId="00159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第二十</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医保经办机构结合质量管理、投诉举报、日常检查等情况，综合利用信息技术等手段，组织对定点评估机构和评估人员进行履约管理。</w:t>
      </w:r>
    </w:p>
    <w:p w14:paraId="589A0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定点评估机构违反评估服务协议的，医保经办机构可通过约谈、暂停结算、拒付违规费用、要求支付违约金、中止或解除服务协议等方式处理。医保经办机构作出中止或解除评估服务协议等处理时，要向同级医保行政部门报备。</w:t>
      </w:r>
    </w:p>
    <w:p w14:paraId="4DD07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rPr>
        <w:t>第二十</w:t>
      </w:r>
      <w:r>
        <w:rPr>
          <w:rFonts w:hint="eastAsia" w:ascii="楷体_GB2312" w:hAnsi="楷体_GB2312" w:eastAsia="楷体_GB2312" w:cs="楷体_GB2312"/>
          <w:color w:val="auto"/>
          <w:sz w:val="32"/>
          <w:szCs w:val="32"/>
          <w:highlight w:val="none"/>
          <w:lang w:eastAsia="zh-CN"/>
        </w:rPr>
        <w:t>八</w:t>
      </w:r>
      <w:r>
        <w:rPr>
          <w:rFonts w:hint="eastAsia" w:ascii="楷体_GB2312" w:hAnsi="楷体_GB2312" w:eastAsia="楷体_GB2312" w:cs="楷体_GB2312"/>
          <w:color w:val="auto"/>
          <w:sz w:val="32"/>
          <w:szCs w:val="32"/>
          <w:highlight w:val="none"/>
        </w:rPr>
        <w:t>条</w:t>
      </w:r>
      <w:r>
        <w:rPr>
          <w:rFonts w:hint="eastAsia" w:ascii="仿宋_GB2312" w:eastAsia="仿宋_GB2312"/>
          <w:color w:val="auto"/>
          <w:sz w:val="32"/>
          <w:szCs w:val="32"/>
          <w:highlight w:val="none"/>
        </w:rPr>
        <w:t xml:space="preserve"> 统筹地区医保经办机构应组织对定点评估机构协议履行、评估工作质量等情况开展考核评价，重点将评估时效性、复评申请率，结论变动率、</w:t>
      </w:r>
      <w:r>
        <w:rPr>
          <w:rFonts w:hint="eastAsia" w:ascii="仿宋_GB2312" w:eastAsia="仿宋_GB2312"/>
          <w:color w:val="auto"/>
          <w:sz w:val="32"/>
          <w:szCs w:val="32"/>
          <w:highlight w:val="none"/>
          <w:lang w:eastAsia="zh-CN"/>
        </w:rPr>
        <w:t>评估档案留存情况、</w:t>
      </w:r>
      <w:r>
        <w:rPr>
          <w:rFonts w:hint="eastAsia" w:ascii="仿宋_GB2312" w:eastAsia="仿宋_GB2312"/>
          <w:color w:val="auto"/>
          <w:sz w:val="32"/>
          <w:szCs w:val="32"/>
          <w:highlight w:val="none"/>
        </w:rPr>
        <w:t>举报投诉处理情况、服务标准化等纳入考核范围，考核结果与评估服务协议续签、服务费用支付等挂钩。</w:t>
      </w:r>
    </w:p>
    <w:p w14:paraId="0A563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二十九</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医保行政部门通过实地检查、抽查、智能监控等方式，对定点评估机构评估行为和协议履行情况等进行监督，对医保经办机构工作进行指导和监督。发现定点评估机构存在违约情形的，应当及时责令医保经办机构按照评估服务协议处理。属于法律法规和规章规定范畴的，依法给予行政处罚。涉嫌违法犯罪的，依法移送司法机关处理。</w:t>
      </w:r>
    </w:p>
    <w:p w14:paraId="29462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三十</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医保行政部门和经办机构应拓宽监督途径、创新监督方式，通过满意度调查、第三方评价、聘请社会监督员等方式对定点评估机构进行社会监督，畅通投诉举报渠道，及时发现问题并进行处理。</w:t>
      </w:r>
    </w:p>
    <w:p w14:paraId="040261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第五章 附</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则</w:t>
      </w:r>
    </w:p>
    <w:p w14:paraId="1BF56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三十一</w:t>
      </w:r>
      <w:r>
        <w:rPr>
          <w:rFonts w:hint="eastAsia" w:ascii="仿宋_GB2312" w:eastAsia="仿宋_GB2312"/>
          <w:color w:val="auto"/>
          <w:sz w:val="32"/>
          <w:szCs w:val="32"/>
        </w:rPr>
        <w:t xml:space="preserve">条 </w:t>
      </w:r>
      <w:r>
        <w:rPr>
          <w:rFonts w:hint="eastAsia" w:ascii="仿宋_GB2312" w:eastAsia="仿宋_GB2312"/>
          <w:color w:val="auto"/>
          <w:sz w:val="32"/>
          <w:szCs w:val="32"/>
          <w:lang w:val="en-US" w:eastAsia="zh-CN"/>
        </w:rPr>
        <w:t>各统筹区根据独立评估机构的发展状况，</w:t>
      </w:r>
      <w:r>
        <w:rPr>
          <w:rFonts w:hint="eastAsia" w:ascii="仿宋_GB2312" w:eastAsia="仿宋_GB2312"/>
          <w:color w:val="auto"/>
          <w:sz w:val="32"/>
          <w:szCs w:val="32"/>
        </w:rPr>
        <w:t>逐步按照政府采购有关规定确定定点评估机构。</w:t>
      </w:r>
    </w:p>
    <w:p w14:paraId="06168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三十二</w:t>
      </w:r>
      <w:r>
        <w:rPr>
          <w:rFonts w:hint="eastAsia" w:ascii="楷体_GB2312" w:hAnsi="楷体_GB2312" w:eastAsia="楷体_GB2312" w:cs="楷体_GB2312"/>
          <w:color w:val="auto"/>
          <w:sz w:val="32"/>
          <w:szCs w:val="32"/>
        </w:rPr>
        <w:t>条</w:t>
      </w:r>
      <w:r>
        <w:rPr>
          <w:rFonts w:hint="eastAsia" w:ascii="仿宋_GB2312" w:eastAsia="仿宋_GB2312"/>
          <w:color w:val="auto"/>
          <w:sz w:val="32"/>
          <w:szCs w:val="32"/>
        </w:rPr>
        <w:t xml:space="preserve"> 本细则由吉林省医疗保障局负责解释，自印发之日起施行。在执行过程中，如遇国家政策调整，按照国家政策执行。</w:t>
      </w:r>
    </w:p>
    <w:p w14:paraId="33934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p>
    <w:p w14:paraId="24ADD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i w:val="0"/>
          <w:iCs w:val="0"/>
          <w:caps w:val="0"/>
          <w:color w:val="auto"/>
          <w:spacing w:val="0"/>
          <w:sz w:val="32"/>
          <w:szCs w:val="32"/>
          <w:shd w:val="clear" w:color="auto" w:fill="FFFFFF"/>
          <w:vertAlign w:val="baseline"/>
          <w:lang w:eastAsia="zh-CN"/>
        </w:rPr>
      </w:pPr>
      <w:r>
        <w:rPr>
          <w:rFonts w:hint="eastAsia" w:ascii="仿宋_GB2312" w:eastAsia="仿宋_GB2312"/>
          <w:color w:val="auto"/>
          <w:sz w:val="32"/>
          <w:szCs w:val="32"/>
          <w:lang w:eastAsia="zh-CN"/>
        </w:rPr>
        <w:t>附件：长期护理保险失能等级评估机构申请表</w:t>
      </w:r>
    </w:p>
    <w:p w14:paraId="009DF79C">
      <w:pPr>
        <w:rPr>
          <w:rFonts w:hint="eastAsia" w:ascii="黑体" w:hAnsi="宋体" w:eastAsia="黑体" w:cs="黑体"/>
          <w:i w:val="0"/>
          <w:iCs w:val="0"/>
          <w:caps w:val="0"/>
          <w:color w:val="auto"/>
          <w:spacing w:val="0"/>
          <w:sz w:val="32"/>
          <w:szCs w:val="32"/>
          <w:shd w:val="clear" w:color="auto" w:fill="FFFFFF"/>
          <w:vertAlign w:val="baseline"/>
          <w:lang w:eastAsia="zh-CN"/>
        </w:rPr>
      </w:pPr>
      <w:r>
        <w:rPr>
          <w:rFonts w:hint="eastAsia" w:ascii="黑体" w:hAnsi="宋体" w:eastAsia="黑体" w:cs="黑体"/>
          <w:i w:val="0"/>
          <w:iCs w:val="0"/>
          <w:caps w:val="0"/>
          <w:color w:val="auto"/>
          <w:spacing w:val="0"/>
          <w:sz w:val="32"/>
          <w:szCs w:val="32"/>
          <w:shd w:val="clear" w:color="auto" w:fill="FFFFFF"/>
          <w:vertAlign w:val="baseline"/>
          <w:lang w:eastAsia="zh-CN"/>
        </w:rPr>
        <w:br w:type="page"/>
      </w:r>
    </w:p>
    <w:p w14:paraId="6E3644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before="0" w:beforeAutospacing="0" w:after="0" w:afterAutospacing="0" w:line="560" w:lineRule="exact"/>
        <w:ind w:left="0" w:right="0" w:firstLine="0"/>
        <w:rPr>
          <w:rFonts w:hint="eastAsia" w:ascii="黑体" w:hAnsi="宋体" w:eastAsia="黑体" w:cs="黑体"/>
          <w:i w:val="0"/>
          <w:iCs w:val="0"/>
          <w:caps w:val="0"/>
          <w:color w:val="auto"/>
          <w:spacing w:val="0"/>
          <w:sz w:val="32"/>
          <w:szCs w:val="32"/>
          <w:shd w:val="clear" w:color="auto" w:fill="FFFFFF"/>
          <w:vertAlign w:val="baseline"/>
          <w:lang w:eastAsia="zh-CN"/>
        </w:rPr>
      </w:pPr>
      <w:r>
        <w:rPr>
          <w:rFonts w:hint="eastAsia" w:ascii="黑体" w:hAnsi="宋体" w:eastAsia="黑体" w:cs="黑体"/>
          <w:i w:val="0"/>
          <w:iCs w:val="0"/>
          <w:caps w:val="0"/>
          <w:color w:val="auto"/>
          <w:spacing w:val="0"/>
          <w:sz w:val="32"/>
          <w:szCs w:val="32"/>
          <w:shd w:val="clear" w:color="auto" w:fill="FFFFFF"/>
          <w:vertAlign w:val="baseline"/>
          <w:lang w:eastAsia="zh-CN"/>
        </w:rPr>
        <w:t>附件</w:t>
      </w:r>
    </w:p>
    <w:p w14:paraId="07FB8E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before="0" w:beforeAutospacing="0" w:after="0" w:afterAutospacing="0" w:line="560" w:lineRule="exact"/>
        <w:ind w:left="0" w:right="0" w:firstLine="640" w:firstLineChars="200"/>
        <w:rPr>
          <w:rFonts w:hint="eastAsia" w:ascii="方正小标宋简体" w:hAnsi="方正小标宋简体" w:eastAsia="方正小标宋简体" w:cs="方正小标宋简体"/>
          <w:i w:val="0"/>
          <w:iCs w:val="0"/>
          <w:caps w:val="0"/>
          <w:color w:val="auto"/>
          <w:spacing w:val="-20"/>
          <w:sz w:val="36"/>
          <w:szCs w:val="36"/>
          <w:shd w:val="clear" w:color="auto" w:fill="FFFFFF"/>
          <w:vertAlign w:val="baseline"/>
          <w:lang w:eastAsia="zh-CN"/>
        </w:rPr>
      </w:pPr>
      <w:r>
        <w:rPr>
          <w:rFonts w:hint="eastAsia" w:ascii="方正小标宋简体" w:hAnsi="方正小标宋简体" w:eastAsia="方正小标宋简体" w:cs="方正小标宋简体"/>
          <w:i w:val="0"/>
          <w:iCs w:val="0"/>
          <w:caps w:val="0"/>
          <w:color w:val="auto"/>
          <w:spacing w:val="-20"/>
          <w:sz w:val="36"/>
          <w:szCs w:val="36"/>
          <w:shd w:val="clear" w:color="auto" w:fill="FFFFFF"/>
          <w:vertAlign w:val="baseline"/>
          <w:lang w:eastAsia="zh-CN"/>
        </w:rPr>
        <w:t>吉林省长期护理保险失能等级定点评估机构申请表</w:t>
      </w:r>
    </w:p>
    <w:tbl>
      <w:tblPr>
        <w:tblStyle w:val="17"/>
        <w:tblpPr w:leftFromText="180" w:rightFromText="180" w:vertAnchor="text" w:horzAnchor="page" w:tblpX="1489" w:tblpY="220"/>
        <w:tblOverlap w:val="never"/>
        <w:tblW w:w="9523"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88"/>
        <w:gridCol w:w="1575"/>
        <w:gridCol w:w="1755"/>
        <w:gridCol w:w="1560"/>
        <w:gridCol w:w="3045"/>
      </w:tblGrid>
      <w:tr w14:paraId="122B7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5"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15FC726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机构名称</w:t>
            </w:r>
          </w:p>
        </w:tc>
        <w:tc>
          <w:tcPr>
            <w:tcW w:w="7935" w:type="dxa"/>
            <w:gridSpan w:val="4"/>
            <w:tcBorders>
              <w:top w:val="single" w:color="auto" w:sz="4" w:space="0"/>
              <w:left w:val="single" w:color="auto" w:sz="4" w:space="0"/>
              <w:bottom w:val="single" w:color="auto" w:sz="4" w:space="0"/>
              <w:right w:val="single" w:color="auto" w:sz="4" w:space="0"/>
            </w:tcBorders>
            <w:noWrap w:val="0"/>
            <w:vAlign w:val="center"/>
          </w:tcPr>
          <w:p w14:paraId="33E6B96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r>
      <w:tr w14:paraId="055416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2B3788E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right="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机构地址</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00C0091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AA85B6A">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邮政编码</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5E512035">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r>
      <w:tr w14:paraId="610B3D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4FAFC56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exact"/>
              <w:ind w:right="0"/>
              <w:jc w:val="left"/>
              <w:textAlignment w:val="baseline"/>
              <w:rPr>
                <w:rFonts w:hint="eastAsia" w:ascii="仿宋_GB2312" w:hAnsi="仿宋_GB2312" w:eastAsia="仿宋_GB2312" w:cs="仿宋_GB2312"/>
                <w:b w:val="0"/>
                <w:bCs w:val="0"/>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社会统一信用代码证编号</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2513EB1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exact"/>
              <w:ind w:left="0" w:right="0" w:firstLine="0"/>
              <w:jc w:val="left"/>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AC9379A">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exact"/>
              <w:ind w:left="0" w:right="0" w:firstLine="0"/>
              <w:jc w:val="both"/>
              <w:textAlignment w:val="baseline"/>
              <w:rPr>
                <w:rFonts w:hint="eastAsia" w:ascii="仿宋_GB2312" w:hAnsi="仿宋_GB2312" w:eastAsia="仿宋_GB2312" w:cs="仿宋_GB2312"/>
                <w:b w:val="0"/>
                <w:bCs w:val="0"/>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执业许可证编号（选填）</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634A62C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r>
      <w:tr w14:paraId="5969CD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5"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3CE3940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法定代表人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043717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bookmarkStart w:id="0" w:name="_GoBack"/>
            <w:bookmarkEnd w:id="0"/>
          </w:p>
        </w:tc>
        <w:tc>
          <w:tcPr>
            <w:tcW w:w="1755" w:type="dxa"/>
            <w:tcBorders>
              <w:top w:val="single" w:color="auto" w:sz="4" w:space="0"/>
              <w:left w:val="single" w:color="auto" w:sz="4" w:space="0"/>
              <w:bottom w:val="single" w:color="auto" w:sz="4" w:space="0"/>
              <w:right w:val="single" w:color="auto" w:sz="4" w:space="0"/>
            </w:tcBorders>
            <w:noWrap w:val="0"/>
            <w:vAlign w:val="center"/>
          </w:tcPr>
          <w:p w14:paraId="4331D245">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联系电话</w:t>
            </w:r>
          </w:p>
        </w:tc>
        <w:tc>
          <w:tcPr>
            <w:tcW w:w="4605" w:type="dxa"/>
            <w:gridSpan w:val="2"/>
            <w:tcBorders>
              <w:top w:val="single" w:color="auto" w:sz="4" w:space="0"/>
              <w:left w:val="single" w:color="auto" w:sz="4" w:space="0"/>
              <w:bottom w:val="single" w:color="auto" w:sz="4" w:space="0"/>
              <w:right w:val="single" w:color="auto" w:sz="4" w:space="0"/>
            </w:tcBorders>
            <w:noWrap w:val="0"/>
            <w:vAlign w:val="center"/>
          </w:tcPr>
          <w:p w14:paraId="25BEF1A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r>
      <w:tr w14:paraId="193CDD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342EE84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联系人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7D161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2B21FF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联系电话</w:t>
            </w:r>
          </w:p>
        </w:tc>
        <w:tc>
          <w:tcPr>
            <w:tcW w:w="4605" w:type="dxa"/>
            <w:gridSpan w:val="2"/>
            <w:tcBorders>
              <w:top w:val="single" w:color="auto" w:sz="4" w:space="0"/>
              <w:left w:val="single" w:color="auto" w:sz="4" w:space="0"/>
              <w:bottom w:val="single" w:color="auto" w:sz="4" w:space="0"/>
              <w:right w:val="single" w:color="auto" w:sz="4" w:space="0"/>
            </w:tcBorders>
            <w:noWrap w:val="0"/>
            <w:vAlign w:val="center"/>
          </w:tcPr>
          <w:p w14:paraId="392379B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r>
      <w:tr w14:paraId="0B8F26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0"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38E6BFF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1"/>
                <w:szCs w:val="21"/>
                <w:vertAlign w:val="baseline"/>
                <w:lang w:val="en-US" w:eastAsia="zh-CN" w:bidi="ar"/>
              </w:rPr>
              <w:t>机构类型</w:t>
            </w:r>
          </w:p>
        </w:tc>
        <w:tc>
          <w:tcPr>
            <w:tcW w:w="7935" w:type="dxa"/>
            <w:gridSpan w:val="4"/>
            <w:tcBorders>
              <w:top w:val="single" w:color="auto" w:sz="4" w:space="0"/>
              <w:left w:val="single" w:color="auto" w:sz="4" w:space="0"/>
              <w:bottom w:val="single" w:color="auto" w:sz="4" w:space="0"/>
              <w:right w:val="single" w:color="auto" w:sz="4" w:space="0"/>
            </w:tcBorders>
            <w:noWrap w:val="0"/>
            <w:vAlign w:val="center"/>
          </w:tcPr>
          <w:p w14:paraId="1F62C0B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210" w:firstLineChars="10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独立评估机构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医疗机构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商业保险机构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其他机构</w:t>
            </w:r>
          </w:p>
        </w:tc>
      </w:tr>
      <w:tr w14:paraId="6A026B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0"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4364A94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机构性质</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195CC0AE">
            <w:pPr>
              <w:keepNext w:val="0"/>
              <w:keepLines w:val="0"/>
              <w:pageBreakBefore w:val="0"/>
              <w:widowControl w:val="0"/>
              <w:suppressLineNumbers w:val="0"/>
              <w:tabs>
                <w:tab w:val="center" w:pos="1616"/>
                <w:tab w:val="right" w:pos="3114"/>
              </w:tabs>
              <w:kinsoku w:val="0"/>
              <w:wordWrap/>
              <w:overflowPunct/>
              <w:topLinePunct w:val="0"/>
              <w:autoSpaceDE/>
              <w:autoSpaceDN w:val="0"/>
              <w:bidi w:val="0"/>
              <w:adjustRightInd w:val="0"/>
              <w:snapToGrid w:val="0"/>
              <w:spacing w:before="0" w:beforeAutospacing="0" w:after="0" w:afterAutospacing="0" w:line="560" w:lineRule="exact"/>
              <w:ind w:left="0" w:right="0" w:firstLine="420" w:firstLineChars="200"/>
              <w:jc w:val="both"/>
              <w:textAlignment w:val="baseline"/>
              <w:rPr>
                <w:rFonts w:hint="eastAsia" w:ascii="仿宋_GB2312" w:hAnsi="仿宋_GB2312" w:cs="仿宋_GB2312" w:eastAsiaTheme="minorEastAsia"/>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公立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民营</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FB5A91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经营性质</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79C4E215">
            <w:pPr>
              <w:keepNext w:val="0"/>
              <w:keepLines w:val="0"/>
              <w:pageBreakBefore w:val="0"/>
              <w:widowControl w:val="0"/>
              <w:suppressLineNumbers w:val="0"/>
              <w:tabs>
                <w:tab w:val="left" w:pos="342"/>
              </w:tabs>
              <w:kinsoku w:val="0"/>
              <w:wordWrap/>
              <w:overflowPunct/>
              <w:topLinePunct w:val="0"/>
              <w:autoSpaceDE/>
              <w:autoSpaceDN w:val="0"/>
              <w:bidi w:val="0"/>
              <w:adjustRightInd w:val="0"/>
              <w:snapToGrid w:val="0"/>
              <w:spacing w:before="0" w:beforeAutospacing="0" w:after="0" w:afterAutospacing="0" w:line="560" w:lineRule="exact"/>
              <w:ind w:left="0" w:right="0" w:firstLine="420" w:firstLineChars="20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营利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非营利</w:t>
            </w:r>
          </w:p>
        </w:tc>
      </w:tr>
      <w:tr w14:paraId="31F5AD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5"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1BE1207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机构级别</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4143F97C">
            <w:pPr>
              <w:keepNext w:val="0"/>
              <w:keepLines w:val="0"/>
              <w:pageBreakBefore w:val="0"/>
              <w:widowControl w:val="0"/>
              <w:suppressLineNumbers w:val="0"/>
              <w:tabs>
                <w:tab w:val="center" w:pos="1616"/>
                <w:tab w:val="right" w:pos="3114"/>
              </w:tabs>
              <w:kinsoku w:val="0"/>
              <w:wordWrap/>
              <w:overflowPunct/>
              <w:topLinePunct w:val="0"/>
              <w:autoSpaceDE/>
              <w:autoSpaceDN w:val="0"/>
              <w:bidi w:val="0"/>
              <w:adjustRightInd w:val="0"/>
              <w:snapToGrid w:val="0"/>
              <w:spacing w:before="0" w:beforeAutospacing="0" w:after="0" w:afterAutospacing="0" w:line="560" w:lineRule="exact"/>
              <w:ind w:right="0"/>
              <w:jc w:val="both"/>
              <w:textAlignment w:val="baseline"/>
              <w:rPr>
                <w:rFonts w:hint="eastAsia" w:ascii="仿宋_GB2312" w:hAnsi="仿宋_GB2312" w:eastAsia="仿宋_GB2312" w:cs="仿宋_GB2312"/>
                <w:b w:val="0"/>
                <w:bCs w:val="0"/>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三级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二级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一级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未定级</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6A1980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医保定点</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0FDA24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420" w:firstLineChars="200"/>
              <w:jc w:val="both"/>
              <w:textAlignment w:val="baseline"/>
              <w:rPr>
                <w:rFonts w:hint="default" w:ascii="仿宋_GB2312" w:hAnsi="仿宋_GB2312" w:eastAsia="仿宋_GB2312" w:cs="仿宋_GB2312"/>
                <w:b w:val="0"/>
                <w:bCs w:val="0"/>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 xml:space="preserve">是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否</w:t>
            </w:r>
          </w:p>
        </w:tc>
      </w:tr>
      <w:tr w14:paraId="5F21B6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5" w:hRule="exact"/>
        </w:trPr>
        <w:tc>
          <w:tcPr>
            <w:tcW w:w="1588" w:type="dxa"/>
            <w:vMerge w:val="restart"/>
            <w:tcBorders>
              <w:top w:val="single" w:color="auto" w:sz="4" w:space="0"/>
              <w:left w:val="single" w:color="auto" w:sz="4" w:space="0"/>
              <w:right w:val="single" w:color="auto" w:sz="4" w:space="0"/>
            </w:tcBorders>
            <w:noWrap w:val="0"/>
            <w:vAlign w:val="center"/>
          </w:tcPr>
          <w:p w14:paraId="3270C521">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机构场所情况</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7C1402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机构场所性质</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8820B6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default" w:ascii="仿宋_GB2312" w:hAnsi="仿宋_GB2312" w:eastAsia="仿宋_GB2312" w:cs="仿宋_GB2312"/>
                <w:caps w:val="0"/>
                <w:color w:val="auto"/>
                <w:kern w:val="2"/>
                <w:sz w:val="21"/>
                <w:szCs w:val="21"/>
                <w:vertAlign w:val="baseline"/>
                <w:lang w:val="en-US" w:eastAsia="zh-CN" w:bidi="ar"/>
              </w:rPr>
            </w:pP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b w:val="0"/>
                <w:bCs w:val="0"/>
                <w:caps w:val="0"/>
                <w:color w:val="auto"/>
                <w:kern w:val="2"/>
                <w:sz w:val="21"/>
                <w:szCs w:val="21"/>
                <w:vertAlign w:val="baseline"/>
                <w:lang w:val="en-US" w:eastAsia="zh-CN" w:bidi="ar"/>
              </w:rPr>
              <w:t>自有</w:t>
            </w:r>
            <w:r>
              <w:rPr>
                <w:rFonts w:hint="eastAsia" w:ascii="仿宋_GB2312" w:hAnsi="仿宋_GB2312" w:eastAsia="仿宋_GB2312" w:cs="仿宋_GB2312"/>
                <w:caps w:val="0"/>
                <w:color w:val="auto"/>
                <w:kern w:val="2"/>
                <w:sz w:val="21"/>
                <w:szCs w:val="21"/>
                <w:vertAlign w:val="baseline"/>
                <w:lang w:val="en-US" w:eastAsia="zh-CN" w:bidi="ar"/>
              </w:rPr>
              <w:t xml:space="preserve"> </w:t>
            </w:r>
            <w:r>
              <w:rPr>
                <w:rFonts w:hint="default" w:ascii="仿宋_GB2312" w:hAnsi="仿宋_GB2312" w:eastAsia="仿宋_GB2312" w:cs="仿宋_GB2312"/>
                <w:b w:val="0"/>
                <w:bCs w:val="0"/>
                <w:caps w:val="0"/>
                <w:color w:val="auto"/>
                <w:kern w:val="2"/>
                <w:sz w:val="21"/>
                <w:szCs w:val="21"/>
                <w:vertAlign w:val="baseline"/>
                <w:lang w:val="en-US" w:eastAsia="zh-CN" w:bidi="ar"/>
              </w:rPr>
              <w:sym w:font="Wingdings 2" w:char="00A3"/>
            </w:r>
            <w:r>
              <w:rPr>
                <w:rFonts w:hint="eastAsia" w:ascii="仿宋_GB2312" w:hAnsi="仿宋_GB2312" w:eastAsia="仿宋_GB2312" w:cs="仿宋_GB2312"/>
                <w:caps w:val="0"/>
                <w:color w:val="auto"/>
                <w:kern w:val="2"/>
                <w:sz w:val="21"/>
                <w:szCs w:val="21"/>
                <w:vertAlign w:val="baseline"/>
                <w:lang w:val="en-US" w:eastAsia="zh-CN" w:bidi="ar"/>
              </w:rPr>
              <w:t>租赁</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5C4A59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机构成立时间</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046EE1A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r>
      <w:tr w14:paraId="2E32DF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exact"/>
        </w:trPr>
        <w:tc>
          <w:tcPr>
            <w:tcW w:w="1588" w:type="dxa"/>
            <w:vMerge w:val="continue"/>
            <w:tcBorders>
              <w:left w:val="single" w:color="auto" w:sz="4" w:space="0"/>
              <w:bottom w:val="single" w:color="auto" w:sz="4" w:space="0"/>
              <w:right w:val="single" w:color="auto" w:sz="4" w:space="0"/>
            </w:tcBorders>
            <w:noWrap w:val="0"/>
            <w:vAlign w:val="center"/>
          </w:tcPr>
          <w:p w14:paraId="2B636DE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4D4CE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租期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C5D78B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94CE06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场所营业面积</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3AC172F8">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default" w:ascii="仿宋_GB2312" w:hAnsi="仿宋_GB2312" w:eastAsia="仿宋_GB2312" w:cs="仿宋_GB2312"/>
                <w:caps w:val="0"/>
                <w:color w:val="auto"/>
                <w:kern w:val="2"/>
                <w:sz w:val="21"/>
                <w:szCs w:val="21"/>
                <w:vertAlign w:val="baseline"/>
                <w:lang w:val="en-US" w:eastAsia="zh-CN" w:bidi="ar"/>
              </w:rPr>
            </w:pPr>
          </w:p>
        </w:tc>
      </w:tr>
      <w:tr w14:paraId="730885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5"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0C47620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开户银行</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6391FD9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A21EA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银行账号</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3667271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r>
      <w:tr w14:paraId="61442B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9"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679C4C1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评估人员数</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53A6732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A23833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评估专家数</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4EF2BC1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r>
      <w:tr w14:paraId="2A4557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6" w:hRule="exact"/>
        </w:trPr>
        <w:tc>
          <w:tcPr>
            <w:tcW w:w="1588" w:type="dxa"/>
            <w:tcBorders>
              <w:top w:val="single" w:color="auto" w:sz="4" w:space="0"/>
              <w:left w:val="single" w:color="auto" w:sz="4" w:space="0"/>
              <w:bottom w:val="single" w:color="auto" w:sz="4" w:space="0"/>
              <w:right w:val="single" w:color="auto" w:sz="4" w:space="0"/>
            </w:tcBorders>
            <w:noWrap w:val="0"/>
            <w:vAlign w:val="center"/>
          </w:tcPr>
          <w:p w14:paraId="333D01F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专业管理</w:t>
            </w:r>
          </w:p>
          <w:p w14:paraId="1F391CF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人员数</w:t>
            </w:r>
          </w:p>
        </w:tc>
        <w:tc>
          <w:tcPr>
            <w:tcW w:w="3330" w:type="dxa"/>
            <w:gridSpan w:val="2"/>
            <w:tcBorders>
              <w:top w:val="single" w:color="auto" w:sz="4" w:space="0"/>
              <w:left w:val="single" w:color="auto" w:sz="4" w:space="0"/>
              <w:bottom w:val="single" w:color="auto" w:sz="4" w:space="0"/>
              <w:right w:val="single" w:color="auto" w:sz="4" w:space="0"/>
            </w:tcBorders>
            <w:noWrap w:val="0"/>
            <w:vAlign w:val="center"/>
          </w:tcPr>
          <w:p w14:paraId="26A29771">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F42201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信息技术管理</w:t>
            </w:r>
          </w:p>
          <w:p w14:paraId="057C9BA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r>
              <w:rPr>
                <w:rFonts w:hint="eastAsia" w:ascii="仿宋_GB2312" w:hAnsi="仿宋_GB2312" w:eastAsia="仿宋_GB2312" w:cs="仿宋_GB2312"/>
                <w:caps w:val="0"/>
                <w:color w:val="auto"/>
                <w:kern w:val="2"/>
                <w:sz w:val="21"/>
                <w:szCs w:val="21"/>
                <w:vertAlign w:val="baseline"/>
                <w:lang w:val="en-US" w:eastAsia="zh-CN" w:bidi="ar"/>
              </w:rPr>
              <w:t>维护人员数</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3737569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caps w:val="0"/>
                <w:color w:val="auto"/>
                <w:kern w:val="2"/>
                <w:sz w:val="21"/>
                <w:szCs w:val="21"/>
                <w:vertAlign w:val="baseline"/>
                <w:lang w:val="en-US" w:eastAsia="zh-CN" w:bidi="ar"/>
              </w:rPr>
            </w:pPr>
          </w:p>
        </w:tc>
      </w:tr>
      <w:tr w14:paraId="7169EC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1" w:hRule="atLeast"/>
        </w:trPr>
        <w:tc>
          <w:tcPr>
            <w:tcW w:w="9523" w:type="dxa"/>
            <w:gridSpan w:val="5"/>
            <w:tcBorders>
              <w:top w:val="single" w:color="auto" w:sz="4" w:space="0"/>
              <w:left w:val="single" w:color="auto" w:sz="4" w:space="0"/>
              <w:bottom w:val="single" w:color="auto" w:sz="4" w:space="0"/>
              <w:right w:val="single" w:color="auto" w:sz="4" w:space="0"/>
            </w:tcBorders>
            <w:noWrap w:val="0"/>
            <w:vAlign w:val="top"/>
          </w:tcPr>
          <w:p w14:paraId="68F9EDE4">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240" w:lineRule="atLeast"/>
              <w:ind w:right="0"/>
              <w:jc w:val="both"/>
              <w:textAlignment w:val="baseline"/>
              <w:rPr>
                <w:rFonts w:hint="eastAsia" w:ascii="黑体" w:hAnsi="宋体" w:eastAsia="黑体" w:cs="黑体"/>
                <w:b/>
                <w:bCs/>
                <w:caps w:val="0"/>
                <w:color w:val="auto"/>
                <w:kern w:val="2"/>
                <w:sz w:val="22"/>
                <w:szCs w:val="22"/>
                <w:vertAlign w:val="baseline"/>
                <w:lang w:val="en-US" w:eastAsia="zh-CN" w:bidi="ar"/>
              </w:rPr>
            </w:pPr>
            <w:r>
              <w:rPr>
                <w:rFonts w:hint="eastAsia" w:ascii="黑体" w:hAnsi="宋体" w:eastAsia="黑体" w:cs="黑体"/>
                <w:b/>
                <w:bCs/>
                <w:caps w:val="0"/>
                <w:color w:val="auto"/>
                <w:kern w:val="2"/>
                <w:sz w:val="22"/>
                <w:szCs w:val="22"/>
                <w:vertAlign w:val="baseline"/>
                <w:lang w:val="en-US" w:eastAsia="zh-CN" w:bidi="ar"/>
              </w:rPr>
              <w:t>本机构承诺：</w:t>
            </w:r>
          </w:p>
          <w:p w14:paraId="59DC88B4">
            <w:pPr>
              <w:keepNext w:val="0"/>
              <w:keepLines w:val="0"/>
              <w:pageBreakBefore w:val="0"/>
              <w:widowControl w:val="0"/>
              <w:numPr>
                <w:ilvl w:val="0"/>
                <w:numId w:val="0"/>
              </w:numPr>
              <w:suppressLineNumbers w:val="0"/>
              <w:kinsoku w:val="0"/>
              <w:wordWrap/>
              <w:overflowPunct/>
              <w:topLinePunct w:val="0"/>
              <w:autoSpaceDE/>
              <w:autoSpaceDN w:val="0"/>
              <w:bidi w:val="0"/>
              <w:adjustRightInd w:val="0"/>
              <w:snapToGrid w:val="0"/>
              <w:spacing w:before="0" w:beforeAutospacing="0" w:after="0" w:afterAutospacing="0" w:line="240" w:lineRule="atLeast"/>
              <w:ind w:right="0" w:rightChars="0" w:firstLine="480" w:firstLineChars="200"/>
              <w:jc w:val="both"/>
              <w:textAlignment w:val="baseline"/>
              <w:rPr>
                <w:rFonts w:hint="eastAsia" w:ascii="仿宋_GB2312" w:hAnsi="仿宋_GB2312" w:eastAsia="仿宋_GB2312" w:cs="仿宋_GB2312"/>
                <w:b w:val="0"/>
                <w:bCs w:val="0"/>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1.本机构法定代表人、主要负责人或实际控制人及评估人员无相关违法违规等不良记录。</w:t>
            </w:r>
          </w:p>
          <w:p w14:paraId="1B0A3D97">
            <w:pPr>
              <w:keepNext w:val="0"/>
              <w:keepLines w:val="0"/>
              <w:pageBreakBefore w:val="0"/>
              <w:widowControl w:val="0"/>
              <w:numPr>
                <w:ilvl w:val="0"/>
                <w:numId w:val="0"/>
              </w:numPr>
              <w:suppressLineNumbers w:val="0"/>
              <w:kinsoku w:val="0"/>
              <w:wordWrap/>
              <w:overflowPunct/>
              <w:topLinePunct w:val="0"/>
              <w:autoSpaceDE/>
              <w:autoSpaceDN w:val="0"/>
              <w:bidi w:val="0"/>
              <w:adjustRightInd w:val="0"/>
              <w:snapToGrid w:val="0"/>
              <w:spacing w:before="0" w:beforeAutospacing="0" w:after="0" w:afterAutospacing="0" w:line="240" w:lineRule="atLeast"/>
              <w:ind w:right="0" w:rightChars="0" w:firstLine="480" w:firstLineChars="200"/>
              <w:jc w:val="both"/>
              <w:textAlignment w:val="baseline"/>
              <w:rPr>
                <w:rFonts w:hint="eastAsia" w:ascii="仿宋_GB2312" w:hAnsi="仿宋_GB2312" w:eastAsia="仿宋_GB2312" w:cs="仿宋_GB2312"/>
                <w:b w:val="0"/>
                <w:bCs w:val="0"/>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2.本机构自愿承担长期护理保险失能等级评估，申请成为吉林省长期护理保险定点评估机构。本次提供的所有申请材料均真实有效，如提供材料虚假、不真实的，承担由此引起的一切责任和后果。</w:t>
            </w:r>
          </w:p>
          <w:p w14:paraId="2CD756AD">
            <w:pPr>
              <w:keepNext w:val="0"/>
              <w:keepLines w:val="0"/>
              <w:pageBreakBefore w:val="0"/>
              <w:widowControl w:val="0"/>
              <w:numPr>
                <w:ilvl w:val="0"/>
                <w:numId w:val="0"/>
              </w:numPr>
              <w:suppressLineNumbers w:val="0"/>
              <w:kinsoku w:val="0"/>
              <w:wordWrap/>
              <w:overflowPunct/>
              <w:topLinePunct w:val="0"/>
              <w:autoSpaceDE/>
              <w:autoSpaceDN w:val="0"/>
              <w:bidi w:val="0"/>
              <w:adjustRightInd w:val="0"/>
              <w:snapToGrid w:val="0"/>
              <w:spacing w:before="0" w:beforeAutospacing="0" w:after="0" w:afterAutospacing="0" w:line="240" w:lineRule="atLeast"/>
              <w:ind w:right="0" w:rightChars="0" w:firstLine="480" w:firstLineChars="200"/>
              <w:jc w:val="both"/>
              <w:textAlignment w:val="baseline"/>
              <w:rPr>
                <w:rFonts w:hint="default" w:ascii="仿宋_GB2312" w:hAnsi="仿宋_GB2312" w:eastAsia="仿宋_GB2312" w:cs="仿宋_GB2312"/>
                <w:b w:val="0"/>
                <w:bCs w:val="0"/>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3.严格按照《吉林省长期护理保险失能等级评估机构定点管理实施细则（试行）》及有关规定，承担长期护理保险评估服务工作。</w:t>
            </w:r>
          </w:p>
          <w:p w14:paraId="29F2B5A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240" w:lineRule="atLeast"/>
              <w:ind w:right="0"/>
              <w:jc w:val="both"/>
              <w:textAlignment w:val="baseline"/>
              <w:rPr>
                <w:rFonts w:hint="eastAsia" w:ascii="仿宋_GB2312" w:hAnsi="仿宋_GB2312" w:eastAsia="仿宋_GB2312" w:cs="仿宋_GB2312"/>
                <w:b w:val="0"/>
                <w:bCs w:val="0"/>
                <w:caps w:val="0"/>
                <w:color w:val="auto"/>
                <w:kern w:val="2"/>
                <w:sz w:val="24"/>
                <w:szCs w:val="24"/>
                <w:vertAlign w:val="baseline"/>
                <w:lang w:val="en-US" w:eastAsia="zh-CN" w:bidi="ar"/>
              </w:rPr>
            </w:pPr>
          </w:p>
          <w:p w14:paraId="12A375D5">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240" w:lineRule="atLeast"/>
              <w:ind w:right="0"/>
              <w:jc w:val="both"/>
              <w:textAlignment w:val="baseline"/>
              <w:rPr>
                <w:rFonts w:hint="eastAsia" w:ascii="仿宋_GB2312" w:hAnsi="仿宋_GB2312" w:eastAsia="仿宋_GB2312" w:cs="仿宋_GB2312"/>
                <w:b w:val="0"/>
                <w:bCs w:val="0"/>
                <w:caps w:val="0"/>
                <w:color w:val="auto"/>
                <w:kern w:val="2"/>
                <w:sz w:val="24"/>
                <w:szCs w:val="24"/>
                <w:vertAlign w:val="baseline"/>
                <w:lang w:val="en-US" w:eastAsia="zh-CN" w:bidi="ar"/>
              </w:rPr>
            </w:pPr>
          </w:p>
          <w:p w14:paraId="0933502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240" w:lineRule="atLeast"/>
              <w:ind w:right="0"/>
              <w:jc w:val="both"/>
              <w:textAlignment w:val="baseline"/>
              <w:rPr>
                <w:rFonts w:hint="default" w:ascii="Calibri" w:hAnsi="Calibri" w:eastAsia="宋体" w:cs="仿宋"/>
                <w:b/>
                <w:bCs/>
                <w:caps w:val="0"/>
                <w:color w:val="auto"/>
                <w:kern w:val="2"/>
                <w:sz w:val="21"/>
                <w:szCs w:val="21"/>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法人代表签字（盖章）：            单位（盖章）：              年   月   日</w:t>
            </w:r>
          </w:p>
        </w:tc>
      </w:tr>
    </w:tbl>
    <w:p w14:paraId="60404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jc w:val="both"/>
        <w:textAlignment w:val="auto"/>
        <w:rPr>
          <w:rFonts w:hint="eastAsia" w:ascii="黑体" w:hAnsi="宋体" w:eastAsia="黑体" w:cs="黑体"/>
          <w:caps w:val="0"/>
          <w:color w:val="auto"/>
          <w:kern w:val="2"/>
          <w:sz w:val="32"/>
          <w:szCs w:val="32"/>
          <w:vertAlign w:val="baseline"/>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b w:val="0"/>
          <w:bCs w:val="0"/>
          <w:caps w:val="0"/>
          <w:color w:val="auto"/>
          <w:kern w:val="0"/>
          <w:sz w:val="22"/>
          <w:szCs w:val="22"/>
          <w:vertAlign w:val="baseline"/>
          <w:lang w:val="en-US" w:eastAsia="zh-CN" w:bidi="ar"/>
        </w:rPr>
        <w:t>填表说明：1.</w:t>
      </w:r>
      <w:r>
        <w:rPr>
          <w:rFonts w:hint="eastAsia" w:ascii="仿宋_GB2312" w:hAnsi="仿宋_GB2312" w:eastAsia="仿宋_GB2312" w:cs="仿宋_GB2312"/>
          <w:b w:val="0"/>
          <w:bCs w:val="0"/>
          <w:caps w:val="0"/>
          <w:color w:val="auto"/>
          <w:kern w:val="2"/>
          <w:sz w:val="21"/>
          <w:szCs w:val="21"/>
          <w:vertAlign w:val="baseline"/>
          <w:lang w:val="en-US" w:eastAsia="zh-CN" w:bidi="ar"/>
        </w:rPr>
        <w:t>请按照提供的材料填写，填写内容必须真实无误。2.可选项的填写请在对应方框内打“</w:t>
      </w:r>
      <w:r>
        <w:rPr>
          <w:rFonts w:hint="eastAsia" w:ascii="宋体" w:hAnsi="仿宋_GB2312" w:eastAsia="宋体" w:cs="仿宋_GB2312"/>
          <w:b w:val="0"/>
          <w:bCs w:val="0"/>
          <w:caps w:val="0"/>
          <w:color w:val="auto"/>
          <w:kern w:val="2"/>
          <w:sz w:val="21"/>
          <w:szCs w:val="21"/>
          <w:vertAlign w:val="baseline"/>
          <w:lang w:val="en-US" w:eastAsia="zh-CN" w:bidi="ar"/>
        </w:rPr>
        <w:t>√</w:t>
      </w:r>
      <w:r>
        <w:rPr>
          <w:rFonts w:hint="eastAsia" w:ascii="仿宋_GB2312" w:hAnsi="仿宋_GB2312" w:eastAsia="仿宋_GB2312" w:cs="仿宋_GB2312"/>
          <w:b w:val="0"/>
          <w:bCs w:val="0"/>
          <w:caps w:val="0"/>
          <w:color w:val="auto"/>
          <w:kern w:val="2"/>
          <w:sz w:val="21"/>
          <w:szCs w:val="21"/>
          <w:vertAlign w:val="baseline"/>
          <w:lang w:val="en-US" w:eastAsia="zh-CN" w:bidi="ar"/>
        </w:rPr>
        <w:t>”。3.此表一式两份，盖章后提交。</w:t>
      </w:r>
    </w:p>
    <w:p w14:paraId="30C9C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eastAsia="zh-CN"/>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3DE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84B6">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984B6">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73E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BFBCE">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8BFBCE">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C6"/>
    <w:rsid w:val="001E7D96"/>
    <w:rsid w:val="00661305"/>
    <w:rsid w:val="00822474"/>
    <w:rsid w:val="00884263"/>
    <w:rsid w:val="009A1895"/>
    <w:rsid w:val="00B62CC6"/>
    <w:rsid w:val="00C97A2A"/>
    <w:rsid w:val="00CB6EDC"/>
    <w:rsid w:val="01967485"/>
    <w:rsid w:val="056E2A83"/>
    <w:rsid w:val="060754D4"/>
    <w:rsid w:val="062A5F7C"/>
    <w:rsid w:val="07A10C99"/>
    <w:rsid w:val="08BA431B"/>
    <w:rsid w:val="0A302067"/>
    <w:rsid w:val="0B3133D7"/>
    <w:rsid w:val="0B4E34C6"/>
    <w:rsid w:val="0B5C2086"/>
    <w:rsid w:val="0C6C7A0D"/>
    <w:rsid w:val="0C970E9C"/>
    <w:rsid w:val="0CC52AD4"/>
    <w:rsid w:val="0D13526E"/>
    <w:rsid w:val="10B65B14"/>
    <w:rsid w:val="10F2640D"/>
    <w:rsid w:val="10F60B4D"/>
    <w:rsid w:val="11AD1A90"/>
    <w:rsid w:val="12E17D04"/>
    <w:rsid w:val="13540AD4"/>
    <w:rsid w:val="142615D2"/>
    <w:rsid w:val="14E22D08"/>
    <w:rsid w:val="15B269E5"/>
    <w:rsid w:val="169902A1"/>
    <w:rsid w:val="17DD62FD"/>
    <w:rsid w:val="180214BF"/>
    <w:rsid w:val="19532368"/>
    <w:rsid w:val="1B0B42F7"/>
    <w:rsid w:val="1B8371BB"/>
    <w:rsid w:val="1B882917"/>
    <w:rsid w:val="1BF56F8C"/>
    <w:rsid w:val="1C33074E"/>
    <w:rsid w:val="1D6612CA"/>
    <w:rsid w:val="1E5B61CE"/>
    <w:rsid w:val="1E8E0A96"/>
    <w:rsid w:val="1FA346C9"/>
    <w:rsid w:val="20632467"/>
    <w:rsid w:val="22110A5F"/>
    <w:rsid w:val="23E45646"/>
    <w:rsid w:val="25AE6883"/>
    <w:rsid w:val="278E74EA"/>
    <w:rsid w:val="2798149D"/>
    <w:rsid w:val="27D757FA"/>
    <w:rsid w:val="27DB3EDB"/>
    <w:rsid w:val="2AEA4332"/>
    <w:rsid w:val="2B047097"/>
    <w:rsid w:val="2BF322E5"/>
    <w:rsid w:val="2DA93BDB"/>
    <w:rsid w:val="2DC4572D"/>
    <w:rsid w:val="2EAA70A7"/>
    <w:rsid w:val="2FDE0BE0"/>
    <w:rsid w:val="307C4D70"/>
    <w:rsid w:val="308E72D3"/>
    <w:rsid w:val="325B00F2"/>
    <w:rsid w:val="3449068A"/>
    <w:rsid w:val="35EE27B6"/>
    <w:rsid w:val="3627588F"/>
    <w:rsid w:val="370E1BD7"/>
    <w:rsid w:val="37D3575C"/>
    <w:rsid w:val="37F343F6"/>
    <w:rsid w:val="39C87740"/>
    <w:rsid w:val="39CF3C23"/>
    <w:rsid w:val="3A2B484E"/>
    <w:rsid w:val="3A736762"/>
    <w:rsid w:val="3C3165DD"/>
    <w:rsid w:val="3DAF5F9F"/>
    <w:rsid w:val="3DD516A1"/>
    <w:rsid w:val="3E444130"/>
    <w:rsid w:val="3F0331D2"/>
    <w:rsid w:val="3FA41A54"/>
    <w:rsid w:val="41890467"/>
    <w:rsid w:val="43045B6C"/>
    <w:rsid w:val="43125CEA"/>
    <w:rsid w:val="4359067E"/>
    <w:rsid w:val="441D237F"/>
    <w:rsid w:val="47A05864"/>
    <w:rsid w:val="491004E3"/>
    <w:rsid w:val="496650EA"/>
    <w:rsid w:val="49A40659"/>
    <w:rsid w:val="4AFA2747"/>
    <w:rsid w:val="4BA323E2"/>
    <w:rsid w:val="4BB415B9"/>
    <w:rsid w:val="4C9A4607"/>
    <w:rsid w:val="4DAE7663"/>
    <w:rsid w:val="51220304"/>
    <w:rsid w:val="5165013A"/>
    <w:rsid w:val="519E6469"/>
    <w:rsid w:val="51C15D6C"/>
    <w:rsid w:val="51D5699F"/>
    <w:rsid w:val="52C85AD8"/>
    <w:rsid w:val="530B3DFD"/>
    <w:rsid w:val="547A309B"/>
    <w:rsid w:val="55544062"/>
    <w:rsid w:val="55942700"/>
    <w:rsid w:val="567F017E"/>
    <w:rsid w:val="57E00F16"/>
    <w:rsid w:val="58EE71FC"/>
    <w:rsid w:val="59826EE5"/>
    <w:rsid w:val="59903AD1"/>
    <w:rsid w:val="5A292433"/>
    <w:rsid w:val="5B1F38D2"/>
    <w:rsid w:val="5B921727"/>
    <w:rsid w:val="5CAA5299"/>
    <w:rsid w:val="5DA07086"/>
    <w:rsid w:val="5DB030C1"/>
    <w:rsid w:val="5E785A05"/>
    <w:rsid w:val="5ECA64F9"/>
    <w:rsid w:val="5F0A1CE9"/>
    <w:rsid w:val="5F685031"/>
    <w:rsid w:val="60352179"/>
    <w:rsid w:val="61670E53"/>
    <w:rsid w:val="625E7DFD"/>
    <w:rsid w:val="62B611F1"/>
    <w:rsid w:val="63466E86"/>
    <w:rsid w:val="64E04C97"/>
    <w:rsid w:val="66434C5E"/>
    <w:rsid w:val="67AA29A7"/>
    <w:rsid w:val="698A7766"/>
    <w:rsid w:val="698F1514"/>
    <w:rsid w:val="69DD457F"/>
    <w:rsid w:val="6C5A7C5D"/>
    <w:rsid w:val="6D7D3037"/>
    <w:rsid w:val="6E2F4D02"/>
    <w:rsid w:val="6E480585"/>
    <w:rsid w:val="6F2319BD"/>
    <w:rsid w:val="6FAF1F17"/>
    <w:rsid w:val="70413114"/>
    <w:rsid w:val="719003D1"/>
    <w:rsid w:val="720A0C12"/>
    <w:rsid w:val="722E58BF"/>
    <w:rsid w:val="73424E40"/>
    <w:rsid w:val="73C32338"/>
    <w:rsid w:val="73F97190"/>
    <w:rsid w:val="7404235A"/>
    <w:rsid w:val="74DC4AE7"/>
    <w:rsid w:val="758147E1"/>
    <w:rsid w:val="76FA23FD"/>
    <w:rsid w:val="77CF0F0E"/>
    <w:rsid w:val="781E731D"/>
    <w:rsid w:val="7B717E13"/>
    <w:rsid w:val="7B8E4715"/>
    <w:rsid w:val="7B9B0B2D"/>
    <w:rsid w:val="7CA636B6"/>
    <w:rsid w:val="7CCF4F32"/>
    <w:rsid w:val="7DDC3729"/>
    <w:rsid w:val="7E977CD1"/>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9">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4509</Words>
  <Characters>4536</Characters>
  <Lines>24</Lines>
  <Paragraphs>6</Paragraphs>
  <TotalTime>5</TotalTime>
  <ScaleCrop>false</ScaleCrop>
  <LinksUpToDate>false</LinksUpToDate>
  <CharactersWithSpaces>4675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2025-07-04T08:49:00Z</dcterms:created>
  <dc:creator>1</dc:creator>
  <cp:lastModifiedBy>曲畅</cp:lastModifiedBy>
  <cp:lastPrinted>2026-03-30T08:16:00Z</cp:lastPrinted>
  <dcterms:modified xsi:type="dcterms:W3CDTF">2026-03-31T07:32:19Z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eyJoZGlkIjoiMDIyMzlhM2IyNzJmNGEyNzdhMzI1MzNjNzc1MTkwMDYiLCJ1c2VySWQiOiIxNTcyMzY3NDIzIn0=</vt:lpwstr>
  </property>
  <property fmtid="{D5CDD505-2E9C-101B-9397-08002B2CF9AE}" pid="3" name="KSOProductBuildVer">
    <vt:lpwstr>2052-12.1.0.25225</vt:lpwstr>
  </property>
  <property fmtid="{D5CDD505-2E9C-101B-9397-08002B2CF9AE}" pid="4" name="ICV">
    <vt:lpwstr>6CBC49CF484A4E2BA108D0BA42828C06_12</vt:lpwstr>
  </property>
</Properties>
</file>