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0C907B6">
      <w:pPr>
        <w:spacing w:before="870" w:beforeLines="200" w:line="576" w:lineRule="exact"/>
        <w:jc w:val="center"/>
        <w:rPr>
          <w:rFonts w:hint="eastAsia" w:ascii="Times New Roman" w:hAnsi="Times New Roman" w:eastAsia="宋体" w:cs="Times New Roman"/>
          <w:color w:val="000000" w:themeColor="text1"/>
          <w:sz w:val="44"/>
          <w:szCs w:val="44"/>
          <w:lang w:eastAsia="zh-CN"/>
          <w14:textFill>
            <w14:solidFill>
              <w14:schemeClr w14:val="tx1"/>
            </w14:solidFill>
          </w14:textFill>
        </w:rPr>
      </w:pPr>
      <w:bookmarkStart w:id="6" w:name="_GoBack"/>
      <w:bookmarkEnd w:id="6"/>
      <w:bookmarkStart w:id="0" w:name="OLE_LINK136"/>
      <w:bookmarkStart w:id="1" w:name="OLE_LINK168"/>
      <w:r>
        <w:rPr>
          <w:rFonts w:hint="eastAsia" w:ascii="Times New Roman" w:hAnsi="Times New Roman" w:eastAsia="宋体" w:cs="Times New Roman"/>
          <w:color w:val="000000" w:themeColor="text1"/>
          <w:sz w:val="44"/>
          <w:szCs w:val="44"/>
          <w:lang w:eastAsia="zh-CN"/>
          <w14:textFill>
            <w14:solidFill>
              <w14:schemeClr w14:val="tx1"/>
            </w14:solidFill>
          </w14:textFill>
        </w:rPr>
        <w:t>松原市城市公园广场管理条例</w:t>
      </w:r>
    </w:p>
    <w:p w14:paraId="7880CD59">
      <w:pPr>
        <w:keepNext w:val="0"/>
        <w:keepLines w:val="0"/>
        <w:pageBreakBefore w:val="0"/>
        <w:widowControl w:val="0"/>
        <w:kinsoku/>
        <w:wordWrap/>
        <w:overflowPunct/>
        <w:topLinePunct w:val="0"/>
        <w:autoSpaceDE/>
        <w:autoSpaceDN/>
        <w:bidi w:val="0"/>
        <w:adjustRightInd/>
        <w:snapToGrid/>
        <w:spacing w:before="437" w:beforeLines="100" w:after="437" w:afterLines="100" w:line="560" w:lineRule="exact"/>
        <w:ind w:left="640" w:leftChars="200" w:right="640" w:rightChars="200"/>
        <w:jc w:val="both"/>
        <w:textAlignment w:val="auto"/>
        <w:rPr>
          <w:rFonts w:ascii="Times New Roman" w:hAnsi="Times New Roman" w:eastAsia="楷体_GB2312" w:cs="Times New Roman"/>
          <w:color w:val="000000"/>
          <w:szCs w:val="32"/>
        </w:rPr>
      </w:pPr>
      <w:bookmarkStart w:id="2" w:name="OLE_LINK17"/>
      <w:bookmarkStart w:id="3" w:name="OLE_LINK3"/>
      <w:bookmarkStart w:id="4" w:name="OLE_LINK4"/>
      <w:bookmarkStart w:id="5" w:name="OLE_LINK16"/>
      <w:r>
        <w:rPr>
          <w:rFonts w:hint="eastAsia" w:ascii="Times New Roman" w:hAnsi="Times New Roman" w:eastAsia="楷体_GB2312" w:cs="Times New Roman"/>
          <w:color w:val="000000"/>
          <w:szCs w:val="32"/>
        </w:rPr>
        <w:t>（2026年6月15日松原市第七届人民代表大会常务委员会第三十二次会议通过</w:t>
      </w:r>
      <w:r>
        <w:rPr>
          <w:rFonts w:hint="eastAsia" w:ascii="Times New Roman" w:hAnsi="Times New Roman" w:cs="Times New Roman"/>
          <w:color w:val="000000"/>
          <w:szCs w:val="32"/>
          <w:lang w:eastAsia="zh-CN"/>
        </w:rPr>
        <w:t>　</w:t>
      </w:r>
      <w:r>
        <w:rPr>
          <w:rFonts w:ascii="Times New Roman" w:hAnsi="Times New Roman" w:eastAsia="楷体_GB2312" w:cs="Times New Roman"/>
          <w:color w:val="000000"/>
          <w:szCs w:val="32"/>
        </w:rPr>
        <w:t>202</w:t>
      </w:r>
      <w:r>
        <w:rPr>
          <w:rFonts w:hint="eastAsia" w:ascii="Times New Roman" w:hAnsi="Times New Roman" w:eastAsia="楷体_GB2312" w:cs="Times New Roman"/>
          <w:color w:val="000000"/>
          <w:szCs w:val="32"/>
          <w:lang w:val="en-US" w:eastAsia="zh-CN"/>
        </w:rPr>
        <w:t>6</w:t>
      </w:r>
      <w:r>
        <w:rPr>
          <w:rFonts w:ascii="Times New Roman" w:hAnsi="Times New Roman" w:eastAsia="楷体_GB2312" w:cs="Times New Roman"/>
          <w:color w:val="000000" w:themeColor="text1"/>
          <w:szCs w:val="32"/>
          <w14:textFill>
            <w14:solidFill>
              <w14:schemeClr w14:val="tx1"/>
            </w14:solidFill>
          </w14:textFill>
        </w:rPr>
        <w:t>年</w:t>
      </w:r>
      <w:r>
        <w:rPr>
          <w:rFonts w:hint="eastAsia" w:ascii="Times New Roman" w:hAnsi="Times New Roman" w:eastAsia="楷体_GB2312" w:cs="Times New Roman"/>
          <w:color w:val="000000" w:themeColor="text1"/>
          <w:szCs w:val="32"/>
          <w:lang w:val="en-US" w:eastAsia="zh-CN"/>
          <w14:textFill>
            <w14:solidFill>
              <w14:schemeClr w14:val="tx1"/>
            </w14:solidFill>
          </w14:textFill>
        </w:rPr>
        <w:t>7</w:t>
      </w:r>
      <w:r>
        <w:rPr>
          <w:rFonts w:ascii="Times New Roman" w:hAnsi="Times New Roman" w:eastAsia="楷体_GB2312" w:cs="Times New Roman"/>
          <w:color w:val="000000" w:themeColor="text1"/>
          <w:szCs w:val="32"/>
          <w14:textFill>
            <w14:solidFill>
              <w14:schemeClr w14:val="tx1"/>
            </w14:solidFill>
          </w14:textFill>
        </w:rPr>
        <w:t>月</w:t>
      </w:r>
      <w:r>
        <w:rPr>
          <w:rFonts w:hint="eastAsia" w:ascii="Times New Roman" w:hAnsi="Times New Roman" w:eastAsia="楷体_GB2312" w:cs="Times New Roman"/>
          <w:color w:val="000000" w:themeColor="text1"/>
          <w:szCs w:val="32"/>
          <w:lang w:val="en-US" w:eastAsia="zh-CN"/>
          <w14:textFill>
            <w14:solidFill>
              <w14:schemeClr w14:val="tx1"/>
            </w14:solidFill>
          </w14:textFill>
        </w:rPr>
        <w:t>30</w:t>
      </w:r>
      <w:r>
        <w:rPr>
          <w:rFonts w:ascii="Times New Roman" w:hAnsi="Times New Roman" w:eastAsia="楷体_GB2312" w:cs="Times New Roman"/>
          <w:color w:val="000000" w:themeColor="text1"/>
          <w:szCs w:val="32"/>
          <w14:textFill>
            <w14:solidFill>
              <w14:schemeClr w14:val="tx1"/>
            </w14:solidFill>
          </w14:textFill>
        </w:rPr>
        <w:t>日吉林省第十四届人民代表大会常务委员会第</w:t>
      </w:r>
      <w:r>
        <w:rPr>
          <w:rFonts w:hint="eastAsia" w:ascii="Times New Roman" w:hAnsi="Times New Roman" w:eastAsia="楷体_GB2312" w:cs="Times New Roman"/>
          <w:color w:val="000000" w:themeColor="text1"/>
          <w:szCs w:val="32"/>
          <w:lang w:val="en-US" w:eastAsia="zh-CN"/>
          <w14:textFill>
            <w14:solidFill>
              <w14:schemeClr w14:val="tx1"/>
            </w14:solidFill>
          </w14:textFill>
        </w:rPr>
        <w:t>二十四</w:t>
      </w:r>
      <w:r>
        <w:rPr>
          <w:rFonts w:ascii="Times New Roman" w:hAnsi="Times New Roman" w:eastAsia="楷体_GB2312" w:cs="Times New Roman"/>
          <w:color w:val="000000" w:themeColor="text1"/>
          <w:szCs w:val="32"/>
          <w14:textFill>
            <w14:solidFill>
              <w14:schemeClr w14:val="tx1"/>
            </w14:solidFill>
          </w14:textFill>
        </w:rPr>
        <w:t>次会议批</w:t>
      </w:r>
      <w:r>
        <w:rPr>
          <w:rFonts w:ascii="Times New Roman" w:hAnsi="Times New Roman" w:eastAsia="楷体_GB2312" w:cs="Times New Roman"/>
          <w:color w:val="000000"/>
          <w:szCs w:val="32"/>
        </w:rPr>
        <w:t>准</w:t>
      </w:r>
      <w:r>
        <w:rPr>
          <w:rFonts w:hint="eastAsia" w:ascii="Times New Roman" w:hAnsi="Times New Roman" w:eastAsia="楷体_GB2312" w:cs="Times New Roman"/>
          <w:color w:val="000000"/>
          <w:szCs w:val="32"/>
        </w:rPr>
        <w:t>）</w:t>
      </w:r>
    </w:p>
    <w:bookmarkEnd w:id="0"/>
    <w:bookmarkEnd w:id="1"/>
    <w:bookmarkEnd w:id="2"/>
    <w:bookmarkEnd w:id="3"/>
    <w:bookmarkEnd w:id="4"/>
    <w:bookmarkEnd w:id="5"/>
    <w:p w14:paraId="2E90F0C4">
      <w:pPr>
        <w:spacing w:before="312" w:beforeLines="100" w:after="312" w:afterLines="100" w:line="576" w:lineRule="exact"/>
        <w:jc w:val="center"/>
        <w:rPr>
          <w:rFonts w:hint="eastAsia" w:ascii="楷体_GB2312" w:hAnsi="楷体_GB2312" w:eastAsia="楷体_GB2312" w:cs="楷体_GB2312"/>
          <w:bCs/>
          <w:color w:val="000000"/>
          <w:kern w:val="0"/>
          <w:sz w:val="32"/>
          <w:szCs w:val="32"/>
        </w:rPr>
      </w:pPr>
      <w:r>
        <w:rPr>
          <w:rFonts w:hint="eastAsia" w:ascii="楷体_GB2312" w:hAnsi="楷体_GB2312" w:eastAsia="楷体_GB2312" w:cs="楷体_GB2312"/>
          <w:bCs/>
          <w:color w:val="000000"/>
          <w:kern w:val="0"/>
          <w:sz w:val="32"/>
          <w:szCs w:val="32"/>
        </w:rPr>
        <w:t>目　录</w:t>
      </w:r>
    </w:p>
    <w:p w14:paraId="7802DAB6">
      <w:pPr>
        <w:spacing w:line="576" w:lineRule="exact"/>
        <w:ind w:firstLine="640" w:firstLineChars="200"/>
        <w:rPr>
          <w:rFonts w:ascii="楷体_GB2312" w:hAnsi="楷体" w:eastAsia="楷体_GB2312" w:cs="楷体"/>
          <w:bCs/>
          <w:color w:val="000000"/>
          <w:kern w:val="0"/>
          <w:sz w:val="32"/>
          <w:szCs w:val="32"/>
        </w:rPr>
      </w:pPr>
      <w:r>
        <w:rPr>
          <w:rFonts w:hint="eastAsia" w:ascii="楷体_GB2312" w:hAnsi="楷体" w:eastAsia="楷体_GB2312" w:cs="楷体"/>
          <w:bCs/>
          <w:color w:val="000000"/>
          <w:kern w:val="0"/>
          <w:sz w:val="32"/>
          <w:szCs w:val="32"/>
        </w:rPr>
        <w:t>第一章　总则</w:t>
      </w:r>
    </w:p>
    <w:p w14:paraId="09039966">
      <w:pPr>
        <w:spacing w:line="576" w:lineRule="exact"/>
        <w:ind w:firstLine="640" w:firstLineChars="200"/>
        <w:rPr>
          <w:rFonts w:ascii="楷体_GB2312" w:hAnsi="楷体" w:eastAsia="楷体_GB2312" w:cs="楷体"/>
          <w:bCs/>
          <w:color w:val="000000"/>
          <w:kern w:val="0"/>
          <w:sz w:val="32"/>
          <w:szCs w:val="32"/>
        </w:rPr>
      </w:pPr>
      <w:r>
        <w:rPr>
          <w:rFonts w:hint="eastAsia" w:ascii="楷体_GB2312" w:hAnsi="楷体" w:eastAsia="楷体_GB2312" w:cs="楷体"/>
          <w:bCs/>
          <w:color w:val="000000"/>
          <w:kern w:val="0"/>
          <w:sz w:val="32"/>
          <w:szCs w:val="32"/>
        </w:rPr>
        <w:t>第二章　规划和建设</w:t>
      </w:r>
    </w:p>
    <w:p w14:paraId="7BF5E067">
      <w:pPr>
        <w:spacing w:line="576" w:lineRule="exact"/>
        <w:ind w:firstLine="640" w:firstLineChars="200"/>
        <w:rPr>
          <w:rFonts w:ascii="楷体_GB2312" w:hAnsi="楷体" w:eastAsia="楷体_GB2312" w:cs="楷体"/>
          <w:bCs/>
          <w:color w:val="000000"/>
          <w:kern w:val="0"/>
          <w:sz w:val="32"/>
          <w:szCs w:val="32"/>
        </w:rPr>
      </w:pPr>
      <w:r>
        <w:rPr>
          <w:rFonts w:hint="eastAsia" w:ascii="楷体_GB2312" w:hAnsi="楷体" w:eastAsia="楷体_GB2312" w:cs="楷体"/>
          <w:bCs/>
          <w:color w:val="000000"/>
          <w:kern w:val="0"/>
          <w:sz w:val="32"/>
          <w:szCs w:val="32"/>
        </w:rPr>
        <w:t>第三章　管理与服务</w:t>
      </w:r>
    </w:p>
    <w:p w14:paraId="3FF2ECFF">
      <w:pPr>
        <w:spacing w:line="576" w:lineRule="exact"/>
        <w:ind w:firstLine="640" w:firstLineChars="200"/>
        <w:rPr>
          <w:rFonts w:ascii="楷体_GB2312" w:hAnsi="楷体" w:eastAsia="楷体_GB2312" w:cs="楷体"/>
          <w:bCs/>
          <w:color w:val="000000"/>
          <w:kern w:val="0"/>
          <w:sz w:val="32"/>
          <w:szCs w:val="32"/>
        </w:rPr>
      </w:pPr>
      <w:r>
        <w:rPr>
          <w:rFonts w:hint="eastAsia" w:ascii="楷体_GB2312" w:hAnsi="楷体" w:eastAsia="楷体_GB2312" w:cs="楷体"/>
          <w:bCs/>
          <w:color w:val="000000"/>
          <w:sz w:val="32"/>
          <w:szCs w:val="32"/>
        </w:rPr>
        <w:t>第四章　法律责任</w:t>
      </w:r>
    </w:p>
    <w:p w14:paraId="7D12E437">
      <w:pPr>
        <w:spacing w:line="576" w:lineRule="exact"/>
        <w:ind w:firstLine="640" w:firstLineChars="200"/>
        <w:rPr>
          <w:rFonts w:ascii="楷体_GB2312" w:hAnsi="楷体" w:eastAsia="楷体_GB2312" w:cs="楷体"/>
          <w:bCs/>
          <w:color w:val="000000"/>
          <w:sz w:val="32"/>
          <w:szCs w:val="32"/>
        </w:rPr>
      </w:pPr>
      <w:r>
        <w:rPr>
          <w:rFonts w:hint="eastAsia" w:ascii="楷体_GB2312" w:hAnsi="楷体" w:eastAsia="楷体_GB2312" w:cs="楷体"/>
          <w:bCs/>
          <w:color w:val="000000"/>
          <w:sz w:val="32"/>
          <w:szCs w:val="32"/>
        </w:rPr>
        <w:t>第五章　附则</w:t>
      </w:r>
    </w:p>
    <w:p w14:paraId="3D83C2BA">
      <w:pPr>
        <w:spacing w:before="312" w:beforeLines="100" w:after="312" w:afterLines="100" w:line="576" w:lineRule="exact"/>
        <w:jc w:val="center"/>
        <w:rPr>
          <w:rFonts w:ascii="仿宋" w:hAnsi="仿宋" w:eastAsia="黑体" w:cs="仿宋"/>
          <w:bCs/>
          <w:color w:val="000000"/>
          <w:sz w:val="32"/>
          <w:szCs w:val="32"/>
        </w:rPr>
      </w:pPr>
      <w:r>
        <w:rPr>
          <w:rFonts w:hint="eastAsia" w:ascii="仿宋" w:hAnsi="仿宋" w:eastAsia="黑体" w:cs="仿宋"/>
          <w:bCs/>
          <w:color w:val="000000"/>
          <w:sz w:val="32"/>
          <w:szCs w:val="32"/>
        </w:rPr>
        <w:t>第一章　总则</w:t>
      </w:r>
    </w:p>
    <w:p w14:paraId="7C1309D8">
      <w:pPr>
        <w:spacing w:line="576" w:lineRule="exact"/>
        <w:ind w:firstLine="640" w:firstLineChars="200"/>
        <w:rPr>
          <w:rFonts w:hint="eastAsia" w:ascii="仿宋_GB2312" w:hAnsi="仿宋" w:eastAsia="仿宋_GB2312" w:cs="仿宋"/>
          <w:bCs/>
          <w:color w:val="000000"/>
          <w:sz w:val="32"/>
          <w:szCs w:val="32"/>
        </w:rPr>
      </w:pPr>
      <w:r>
        <w:rPr>
          <w:rFonts w:hint="eastAsia" w:ascii="仿宋" w:hAnsi="仿宋" w:eastAsia="黑体" w:cs="仿宋"/>
          <w:bCs/>
          <w:color w:val="000000"/>
          <w:sz w:val="32"/>
          <w:szCs w:val="32"/>
        </w:rPr>
        <w:t>第一条　</w:t>
      </w:r>
      <w:r>
        <w:rPr>
          <w:rFonts w:hint="eastAsia" w:ascii="仿宋" w:hAnsi="仿宋" w:eastAsia="仿宋_GB2312" w:cs="仿宋"/>
          <w:bCs/>
          <w:color w:val="000000"/>
          <w:sz w:val="32"/>
          <w:szCs w:val="32"/>
        </w:rPr>
        <w:t>为加强</w:t>
      </w:r>
      <w:r>
        <w:rPr>
          <w:rFonts w:hint="eastAsia" w:ascii="仿宋_GB2312" w:hAnsi="仿宋" w:eastAsia="仿宋_GB2312" w:cs="仿宋"/>
          <w:bCs/>
          <w:color w:val="000000"/>
          <w:sz w:val="32"/>
          <w:szCs w:val="32"/>
        </w:rPr>
        <w:t>松原市城市公园</w:t>
      </w:r>
      <w:r>
        <w:rPr>
          <w:rFonts w:hint="eastAsia" w:ascii="仿宋_GB2312" w:hAnsi="黑体" w:eastAsia="仿宋_GB2312" w:cs="黑体"/>
          <w:bCs/>
          <w:color w:val="000000"/>
          <w:sz w:val="32"/>
          <w:szCs w:val="32"/>
        </w:rPr>
        <w:t>和城市</w:t>
      </w:r>
      <w:r>
        <w:rPr>
          <w:rFonts w:hint="eastAsia" w:ascii="仿宋_GB2312" w:hAnsi="仿宋" w:eastAsia="仿宋_GB2312" w:cs="仿宋"/>
          <w:bCs/>
          <w:color w:val="000000"/>
          <w:sz w:val="32"/>
          <w:szCs w:val="32"/>
        </w:rPr>
        <w:t>广场的规划、建设、保护和管理，改善城市生态和人居环境，满足人民群众美好生活需求，依据有关法律法规，结合本市实际，制定本条例。</w:t>
      </w:r>
    </w:p>
    <w:p w14:paraId="17536F96">
      <w:pPr>
        <w:spacing w:line="576" w:lineRule="exact"/>
        <w:ind w:firstLine="640" w:firstLineChars="200"/>
        <w:rPr>
          <w:rFonts w:hint="eastAsia" w:ascii="仿宋_GB2312" w:hAnsi="仿宋" w:eastAsia="仿宋_GB2312" w:cs="仿宋"/>
          <w:bCs/>
          <w:color w:val="000000"/>
          <w:sz w:val="32"/>
          <w:szCs w:val="32"/>
        </w:rPr>
      </w:pPr>
      <w:r>
        <w:rPr>
          <w:rFonts w:hint="eastAsia" w:ascii="仿宋" w:hAnsi="仿宋" w:eastAsia="黑体" w:cs="仿宋"/>
          <w:bCs/>
          <w:color w:val="000000"/>
          <w:sz w:val="32"/>
          <w:szCs w:val="32"/>
        </w:rPr>
        <w:t>第二条</w:t>
      </w:r>
      <w:r>
        <w:rPr>
          <w:rFonts w:hint="eastAsia" w:ascii="仿宋" w:hAnsi="仿宋" w:eastAsia="仿宋_GB2312" w:cs="仿宋"/>
          <w:bCs/>
          <w:color w:val="000000"/>
          <w:sz w:val="32"/>
          <w:szCs w:val="32"/>
        </w:rPr>
        <w:t>　</w:t>
      </w:r>
      <w:r>
        <w:rPr>
          <w:rFonts w:hint="eastAsia" w:ascii="仿宋_GB2312" w:hAnsi="仿宋" w:eastAsia="仿宋_GB2312" w:cs="仿宋"/>
          <w:bCs/>
          <w:color w:val="000000"/>
          <w:sz w:val="32"/>
          <w:szCs w:val="32"/>
        </w:rPr>
        <w:t>松原市城区内城市公园</w:t>
      </w:r>
      <w:r>
        <w:rPr>
          <w:rFonts w:hint="eastAsia" w:ascii="仿宋_GB2312" w:hAnsi="黑体" w:eastAsia="仿宋_GB2312" w:cs="黑体"/>
          <w:bCs/>
          <w:color w:val="000000"/>
          <w:sz w:val="32"/>
          <w:szCs w:val="32"/>
        </w:rPr>
        <w:t>和城市</w:t>
      </w:r>
      <w:r>
        <w:rPr>
          <w:rFonts w:hint="eastAsia" w:ascii="仿宋_GB2312" w:hAnsi="仿宋" w:eastAsia="仿宋_GB2312" w:cs="仿宋"/>
          <w:bCs/>
          <w:color w:val="000000"/>
          <w:sz w:val="32"/>
          <w:szCs w:val="32"/>
        </w:rPr>
        <w:t>广场的规划、建设、保护和管理，适用本条例。</w:t>
      </w:r>
    </w:p>
    <w:p w14:paraId="78F6E32C">
      <w:pPr>
        <w:spacing w:line="576" w:lineRule="exact"/>
        <w:ind w:firstLine="640" w:firstLineChars="200"/>
        <w:rPr>
          <w:rFonts w:hint="eastAsia" w:ascii="仿宋_GB2312" w:hAnsi="仿宋" w:eastAsia="仿宋_GB2312" w:cs="仿宋"/>
          <w:bCs/>
          <w:color w:val="000000"/>
          <w:sz w:val="32"/>
          <w:szCs w:val="32"/>
        </w:rPr>
      </w:pPr>
      <w:r>
        <w:rPr>
          <w:rFonts w:hint="eastAsia" w:ascii="仿宋_GB2312" w:hAnsi="仿宋" w:eastAsia="仿宋_GB2312" w:cs="仿宋"/>
          <w:bCs/>
          <w:color w:val="000000"/>
          <w:sz w:val="32"/>
          <w:szCs w:val="32"/>
        </w:rPr>
        <w:t>法律、法规对风景名胜区、自然保护区、湿地公园、森林公园、历史文化风貌区等的管理另有规定的，从其规定。</w:t>
      </w:r>
    </w:p>
    <w:p w14:paraId="1AF4667E">
      <w:pPr>
        <w:spacing w:line="576" w:lineRule="exact"/>
        <w:ind w:firstLine="640" w:firstLineChars="200"/>
        <w:rPr>
          <w:rFonts w:hint="eastAsia" w:ascii="仿宋_GB2312" w:hAnsi="仿宋" w:eastAsia="仿宋_GB2312" w:cs="仿宋"/>
          <w:bCs/>
          <w:color w:val="000000"/>
          <w:sz w:val="32"/>
          <w:szCs w:val="32"/>
        </w:rPr>
      </w:pPr>
      <w:r>
        <w:rPr>
          <w:rFonts w:hint="eastAsia" w:ascii="仿宋" w:hAnsi="仿宋" w:eastAsia="黑体" w:cs="仿宋"/>
          <w:bCs/>
          <w:color w:val="000000"/>
          <w:sz w:val="32"/>
          <w:szCs w:val="32"/>
        </w:rPr>
        <w:t>第三条</w:t>
      </w:r>
      <w:r>
        <w:rPr>
          <w:rFonts w:hint="eastAsia" w:ascii="仿宋" w:hAnsi="仿宋" w:eastAsia="仿宋_GB2312" w:cs="仿宋"/>
          <w:bCs/>
          <w:color w:val="000000"/>
          <w:sz w:val="32"/>
          <w:szCs w:val="32"/>
        </w:rPr>
        <w:t>　</w:t>
      </w:r>
      <w:r>
        <w:rPr>
          <w:rFonts w:hint="eastAsia" w:ascii="仿宋_GB2312" w:hAnsi="仿宋" w:eastAsia="仿宋_GB2312" w:cs="仿宋"/>
          <w:bCs/>
          <w:color w:val="000000"/>
          <w:sz w:val="32"/>
          <w:szCs w:val="32"/>
        </w:rPr>
        <w:t>本条例所称城市公园</w:t>
      </w:r>
      <w:r>
        <w:rPr>
          <w:rFonts w:hint="eastAsia" w:ascii="仿宋_GB2312" w:hAnsi="黑体" w:eastAsia="仿宋_GB2312" w:cs="黑体"/>
          <w:bCs/>
          <w:color w:val="000000"/>
          <w:sz w:val="32"/>
          <w:szCs w:val="32"/>
        </w:rPr>
        <w:t>（以下简称公园）</w:t>
      </w:r>
      <w:r>
        <w:rPr>
          <w:rFonts w:hint="eastAsia" w:ascii="仿宋_GB2312" w:hAnsi="仿宋" w:eastAsia="仿宋_GB2312" w:cs="仿宋"/>
          <w:bCs/>
          <w:color w:val="000000"/>
          <w:sz w:val="32"/>
          <w:szCs w:val="32"/>
        </w:rPr>
        <w:t>，是指</w:t>
      </w:r>
      <w:r>
        <w:rPr>
          <w:rFonts w:hint="eastAsia" w:ascii="仿宋_GB2312" w:hAnsi="黑体" w:eastAsia="仿宋_GB2312" w:cs="黑体"/>
          <w:bCs/>
          <w:color w:val="000000"/>
          <w:sz w:val="32"/>
          <w:szCs w:val="32"/>
        </w:rPr>
        <w:t>向公众开放，以游憩为主要功能，兼其生态、景观、文教和应急避险等功能，有一定游憩和服务设施的场所。</w:t>
      </w:r>
      <w:r>
        <w:rPr>
          <w:rFonts w:hint="eastAsia" w:ascii="仿宋_GB2312" w:hAnsi="仿宋" w:eastAsia="仿宋_GB2312" w:cs="仿宋"/>
          <w:bCs/>
          <w:color w:val="000000"/>
          <w:sz w:val="32"/>
          <w:szCs w:val="32"/>
        </w:rPr>
        <w:t>包括综合公园、社区公园、专类公园以及其他纳入城市公园名录的公园。</w:t>
      </w:r>
    </w:p>
    <w:p w14:paraId="32BDF0AE">
      <w:pPr>
        <w:spacing w:line="576" w:lineRule="exact"/>
        <w:ind w:firstLine="640" w:firstLineChars="200"/>
        <w:rPr>
          <w:rFonts w:hint="eastAsia" w:ascii="仿宋_GB2312" w:hAnsi="仿宋" w:eastAsia="仿宋_GB2312" w:cs="仿宋"/>
          <w:bCs/>
          <w:color w:val="000000"/>
          <w:sz w:val="32"/>
          <w:szCs w:val="32"/>
        </w:rPr>
      </w:pPr>
      <w:r>
        <w:rPr>
          <w:rFonts w:hint="eastAsia" w:ascii="仿宋_GB2312" w:hAnsi="仿宋" w:eastAsia="仿宋_GB2312" w:cs="仿宋"/>
          <w:bCs/>
          <w:color w:val="000000"/>
          <w:sz w:val="32"/>
          <w:szCs w:val="32"/>
        </w:rPr>
        <w:t>本条例所称城市广场</w:t>
      </w:r>
      <w:r>
        <w:rPr>
          <w:rFonts w:hint="eastAsia" w:ascii="仿宋_GB2312" w:hAnsi="黑体" w:eastAsia="仿宋_GB2312" w:cs="黑体"/>
          <w:bCs/>
          <w:color w:val="000000"/>
          <w:sz w:val="32"/>
          <w:szCs w:val="32"/>
        </w:rPr>
        <w:t>（以下简称广场）</w:t>
      </w:r>
      <w:r>
        <w:rPr>
          <w:rFonts w:hint="eastAsia" w:ascii="仿宋_GB2312" w:hAnsi="仿宋" w:eastAsia="仿宋_GB2312" w:cs="仿宋"/>
          <w:bCs/>
          <w:color w:val="000000"/>
          <w:sz w:val="32"/>
          <w:szCs w:val="32"/>
        </w:rPr>
        <w:t>，是指</w:t>
      </w:r>
      <w:r>
        <w:rPr>
          <w:rFonts w:hint="eastAsia" w:ascii="仿宋_GB2312" w:hAnsi="黑体" w:eastAsia="仿宋_GB2312" w:cs="黑体"/>
          <w:bCs/>
          <w:color w:val="000000"/>
          <w:sz w:val="32"/>
          <w:szCs w:val="32"/>
        </w:rPr>
        <w:t>以游憩、纪念、集会和避险等功能为主的城市公共活动场所</w:t>
      </w:r>
      <w:r>
        <w:rPr>
          <w:rFonts w:hint="eastAsia" w:ascii="仿宋_GB2312" w:hAnsi="仿宋" w:eastAsia="仿宋_GB2312" w:cs="仿宋"/>
          <w:bCs/>
          <w:color w:val="000000"/>
          <w:sz w:val="32"/>
          <w:szCs w:val="32"/>
        </w:rPr>
        <w:t>。</w:t>
      </w:r>
    </w:p>
    <w:p w14:paraId="3C4D24D7">
      <w:pPr>
        <w:spacing w:line="576" w:lineRule="exact"/>
        <w:ind w:firstLine="640" w:firstLineChars="200"/>
        <w:rPr>
          <w:rFonts w:hint="eastAsia" w:ascii="仿宋" w:hAnsi="仿宋" w:eastAsia="仿宋_GB2312" w:cs="仿宋"/>
          <w:bCs/>
          <w:color w:val="000000"/>
          <w:sz w:val="32"/>
          <w:szCs w:val="32"/>
        </w:rPr>
      </w:pPr>
      <w:r>
        <w:rPr>
          <w:rFonts w:hint="eastAsia" w:ascii="仿宋" w:hAnsi="仿宋" w:eastAsia="黑体" w:cs="仿宋"/>
          <w:bCs/>
          <w:color w:val="000000"/>
          <w:sz w:val="32"/>
          <w:szCs w:val="32"/>
        </w:rPr>
        <w:t>第四条</w:t>
      </w:r>
      <w:r>
        <w:rPr>
          <w:rFonts w:hint="eastAsia" w:ascii="仿宋" w:hAnsi="仿宋" w:eastAsia="仿宋_GB2312" w:cs="仿宋"/>
          <w:bCs/>
          <w:color w:val="000000"/>
          <w:sz w:val="32"/>
          <w:szCs w:val="32"/>
        </w:rPr>
        <w:t>　公</w:t>
      </w:r>
      <w:r>
        <w:rPr>
          <w:rFonts w:hint="eastAsia" w:ascii="仿宋_GB2312" w:hAnsi="仿宋" w:eastAsia="仿宋_GB2312" w:cs="仿宋"/>
          <w:bCs/>
          <w:color w:val="000000"/>
          <w:sz w:val="32"/>
          <w:szCs w:val="32"/>
        </w:rPr>
        <w:t>园</w:t>
      </w:r>
      <w:r>
        <w:rPr>
          <w:rFonts w:hint="eastAsia" w:ascii="仿宋_GB2312" w:hAnsi="黑体" w:eastAsia="仿宋_GB2312" w:cs="黑体"/>
          <w:bCs/>
          <w:color w:val="000000"/>
          <w:sz w:val="32"/>
          <w:szCs w:val="32"/>
        </w:rPr>
        <w:t>和</w:t>
      </w:r>
      <w:r>
        <w:rPr>
          <w:rFonts w:hint="eastAsia" w:ascii="仿宋_GB2312" w:hAnsi="仿宋" w:eastAsia="仿宋_GB2312" w:cs="仿宋"/>
          <w:bCs/>
          <w:color w:val="000000"/>
          <w:sz w:val="32"/>
          <w:szCs w:val="32"/>
        </w:rPr>
        <w:t>广场管理遵循政府主导、科学规划、规范管理、服务公众、全民参与、社会监督的原则</w:t>
      </w:r>
      <w:r>
        <w:rPr>
          <w:rFonts w:hint="eastAsia" w:ascii="仿宋" w:hAnsi="仿宋" w:eastAsia="仿宋_GB2312" w:cs="仿宋"/>
          <w:bCs/>
          <w:color w:val="000000"/>
          <w:sz w:val="32"/>
          <w:szCs w:val="32"/>
        </w:rPr>
        <w:t>。</w:t>
      </w:r>
    </w:p>
    <w:p w14:paraId="24AAC3E2">
      <w:pPr>
        <w:spacing w:line="576" w:lineRule="exact"/>
        <w:ind w:firstLine="640" w:firstLineChars="200"/>
        <w:rPr>
          <w:rFonts w:hint="eastAsia" w:ascii="仿宋_GB2312" w:hAnsi="仿宋_GB2312" w:eastAsia="仿宋_GB2312" w:cs="仿宋_GB2312"/>
          <w:bCs/>
          <w:color w:val="000000"/>
          <w:sz w:val="32"/>
          <w:szCs w:val="32"/>
        </w:rPr>
      </w:pPr>
      <w:r>
        <w:rPr>
          <w:rFonts w:hint="eastAsia" w:ascii="仿宋" w:hAnsi="仿宋" w:eastAsia="黑体" w:cs="仿宋"/>
          <w:bCs/>
          <w:color w:val="000000"/>
          <w:sz w:val="32"/>
          <w:szCs w:val="32"/>
        </w:rPr>
        <w:t>第五条</w:t>
      </w:r>
      <w:r>
        <w:rPr>
          <w:rFonts w:hint="eastAsia" w:ascii="仿宋" w:hAnsi="仿宋" w:eastAsia="仿宋_GB2312" w:cs="仿宋"/>
          <w:bCs/>
          <w:color w:val="000000"/>
          <w:sz w:val="32"/>
          <w:szCs w:val="32"/>
        </w:rPr>
        <w:t>　人民政府应当</w:t>
      </w:r>
      <w:r>
        <w:rPr>
          <w:rFonts w:hint="eastAsia" w:ascii="仿宋_GB2312" w:hAnsi="仿宋" w:eastAsia="仿宋_GB2312" w:cs="仿宋"/>
          <w:bCs/>
          <w:color w:val="000000"/>
          <w:sz w:val="32"/>
          <w:szCs w:val="32"/>
        </w:rPr>
        <w:t>加强对公园</w:t>
      </w:r>
      <w:r>
        <w:rPr>
          <w:rFonts w:hint="eastAsia" w:ascii="仿宋_GB2312" w:hAnsi="黑体" w:eastAsia="仿宋_GB2312" w:cs="黑体"/>
          <w:bCs/>
          <w:color w:val="000000"/>
          <w:sz w:val="32"/>
          <w:szCs w:val="32"/>
        </w:rPr>
        <w:t>和</w:t>
      </w:r>
      <w:r>
        <w:rPr>
          <w:rFonts w:hint="eastAsia" w:ascii="仿宋_GB2312" w:hAnsi="仿宋" w:eastAsia="仿宋_GB2312" w:cs="仿宋"/>
          <w:bCs/>
          <w:color w:val="000000"/>
          <w:sz w:val="32"/>
          <w:szCs w:val="32"/>
        </w:rPr>
        <w:t>广场管理工作的领导，将公</w:t>
      </w:r>
      <w:r>
        <w:rPr>
          <w:rFonts w:hint="eastAsia" w:ascii="仿宋_GB2312" w:hAnsi="仿宋_GB2312" w:eastAsia="仿宋_GB2312" w:cs="仿宋_GB2312"/>
          <w:bCs/>
          <w:color w:val="000000"/>
          <w:sz w:val="32"/>
          <w:szCs w:val="32"/>
        </w:rPr>
        <w:t>园和广场建设纳入城市建设相关专项规划，并明确公园和广场管理职责，建立统筹协调、考核评价、经费保障、责任追究等机制。</w:t>
      </w:r>
    </w:p>
    <w:p w14:paraId="7360FB89">
      <w:pPr>
        <w:spacing w:line="576" w:lineRule="exact"/>
        <w:ind w:firstLine="640" w:firstLineChars="200"/>
        <w:rPr>
          <w:rFonts w:hint="eastAsia" w:ascii="仿宋_GB2312" w:hAnsi="仿宋" w:eastAsia="仿宋_GB2312" w:cs="仿宋"/>
          <w:bCs/>
          <w:color w:val="000000"/>
          <w:sz w:val="32"/>
          <w:szCs w:val="32"/>
        </w:rPr>
      </w:pPr>
      <w:r>
        <w:rPr>
          <w:rFonts w:hint="eastAsia" w:ascii="仿宋" w:hAnsi="仿宋" w:eastAsia="黑体" w:cs="仿宋"/>
          <w:bCs/>
          <w:color w:val="000000"/>
          <w:sz w:val="32"/>
          <w:szCs w:val="32"/>
        </w:rPr>
        <w:t>第六条</w:t>
      </w:r>
      <w:r>
        <w:rPr>
          <w:rFonts w:hint="eastAsia" w:ascii="仿宋" w:hAnsi="仿宋" w:eastAsia="仿宋_GB2312" w:cs="仿宋"/>
          <w:bCs/>
          <w:color w:val="000000"/>
          <w:sz w:val="32"/>
          <w:szCs w:val="32"/>
        </w:rPr>
        <w:t>　</w:t>
      </w:r>
      <w:r>
        <w:rPr>
          <w:rFonts w:hint="eastAsia" w:ascii="仿宋_GB2312" w:hAnsi="仿宋" w:eastAsia="仿宋_GB2312" w:cs="仿宋"/>
          <w:bCs/>
          <w:color w:val="000000"/>
          <w:sz w:val="32"/>
          <w:szCs w:val="32"/>
        </w:rPr>
        <w:t>住房和城乡建设部门是公园</w:t>
      </w:r>
      <w:r>
        <w:rPr>
          <w:rFonts w:hint="eastAsia" w:ascii="仿宋_GB2312" w:hAnsi="黑体" w:eastAsia="仿宋_GB2312" w:cs="黑体"/>
          <w:bCs/>
          <w:color w:val="000000"/>
          <w:sz w:val="32"/>
          <w:szCs w:val="32"/>
        </w:rPr>
        <w:t>和</w:t>
      </w:r>
      <w:r>
        <w:rPr>
          <w:rFonts w:hint="eastAsia" w:ascii="仿宋_GB2312" w:hAnsi="仿宋" w:eastAsia="仿宋_GB2312" w:cs="仿宋"/>
          <w:bCs/>
          <w:color w:val="000000"/>
          <w:sz w:val="32"/>
          <w:szCs w:val="32"/>
        </w:rPr>
        <w:t>广场的主管部门，负责公园</w:t>
      </w:r>
      <w:r>
        <w:rPr>
          <w:rFonts w:hint="eastAsia" w:ascii="仿宋_GB2312" w:hAnsi="黑体" w:eastAsia="仿宋_GB2312" w:cs="黑体"/>
          <w:bCs/>
          <w:color w:val="000000"/>
          <w:sz w:val="32"/>
          <w:szCs w:val="32"/>
        </w:rPr>
        <w:t>和</w:t>
      </w:r>
      <w:r>
        <w:rPr>
          <w:rFonts w:hint="eastAsia" w:ascii="仿宋_GB2312" w:hAnsi="仿宋" w:eastAsia="仿宋_GB2312" w:cs="仿宋"/>
          <w:bCs/>
          <w:color w:val="000000"/>
          <w:sz w:val="32"/>
          <w:szCs w:val="32"/>
        </w:rPr>
        <w:t>广场的规划建设、运行维护、行业管理、业务指导和监督检查等工作。</w:t>
      </w:r>
    </w:p>
    <w:p w14:paraId="4AAA6AB7">
      <w:pPr>
        <w:spacing w:line="576" w:lineRule="exact"/>
        <w:ind w:firstLine="640" w:firstLineChars="200"/>
        <w:rPr>
          <w:rFonts w:hint="eastAsia" w:ascii="仿宋_GB2312" w:hAnsi="仿宋" w:eastAsia="仿宋_GB2312" w:cs="仿宋"/>
          <w:bCs/>
          <w:color w:val="000000"/>
          <w:sz w:val="32"/>
          <w:szCs w:val="32"/>
        </w:rPr>
      </w:pPr>
      <w:r>
        <w:rPr>
          <w:rFonts w:hint="eastAsia" w:ascii="仿宋_GB2312" w:hAnsi="仿宋" w:eastAsia="仿宋_GB2312" w:cs="仿宋"/>
          <w:bCs/>
          <w:color w:val="000000"/>
          <w:sz w:val="32"/>
          <w:szCs w:val="32"/>
        </w:rPr>
        <w:t>公园</w:t>
      </w:r>
      <w:r>
        <w:rPr>
          <w:rFonts w:hint="eastAsia" w:ascii="仿宋_GB2312" w:hAnsi="黑体" w:eastAsia="仿宋_GB2312" w:cs="黑体"/>
          <w:bCs/>
          <w:color w:val="000000"/>
          <w:sz w:val="32"/>
          <w:szCs w:val="32"/>
        </w:rPr>
        <w:t>和</w:t>
      </w:r>
      <w:r>
        <w:rPr>
          <w:rFonts w:hint="eastAsia" w:ascii="仿宋_GB2312" w:hAnsi="仿宋" w:eastAsia="仿宋_GB2312" w:cs="仿宋"/>
          <w:bCs/>
          <w:color w:val="000000"/>
          <w:sz w:val="32"/>
          <w:szCs w:val="32"/>
        </w:rPr>
        <w:t>广场管理机构负责公园</w:t>
      </w:r>
      <w:r>
        <w:rPr>
          <w:rFonts w:hint="eastAsia" w:ascii="仿宋_GB2312" w:hAnsi="黑体" w:eastAsia="仿宋_GB2312" w:cs="黑体"/>
          <w:bCs/>
          <w:color w:val="000000"/>
          <w:sz w:val="32"/>
          <w:szCs w:val="32"/>
        </w:rPr>
        <w:t>和</w:t>
      </w:r>
      <w:r>
        <w:rPr>
          <w:rFonts w:hint="eastAsia" w:ascii="仿宋_GB2312" w:hAnsi="仿宋" w:eastAsia="仿宋_GB2312" w:cs="仿宋"/>
          <w:bCs/>
          <w:color w:val="000000"/>
          <w:sz w:val="32"/>
          <w:szCs w:val="32"/>
        </w:rPr>
        <w:t>广场的日常管理</w:t>
      </w:r>
      <w:r>
        <w:rPr>
          <w:rFonts w:hint="eastAsia" w:ascii="仿宋_GB2312" w:hAnsi="黑体" w:eastAsia="仿宋_GB2312" w:cs="黑体"/>
          <w:bCs/>
          <w:color w:val="000000"/>
          <w:sz w:val="32"/>
          <w:szCs w:val="32"/>
        </w:rPr>
        <w:t>和服务</w:t>
      </w:r>
      <w:r>
        <w:rPr>
          <w:rFonts w:hint="eastAsia" w:ascii="仿宋_GB2312" w:hAnsi="仿宋" w:eastAsia="仿宋_GB2312" w:cs="仿宋"/>
          <w:bCs/>
          <w:color w:val="000000"/>
          <w:sz w:val="32"/>
          <w:szCs w:val="32"/>
        </w:rPr>
        <w:t>工作。</w:t>
      </w:r>
    </w:p>
    <w:p w14:paraId="0ED5AA74">
      <w:pPr>
        <w:spacing w:line="576" w:lineRule="exact"/>
        <w:ind w:firstLine="640" w:firstLineChars="200"/>
        <w:rPr>
          <w:rFonts w:hint="eastAsia" w:ascii="仿宋_GB2312" w:hAnsi="仿宋" w:eastAsia="仿宋_GB2312" w:cs="仿宋"/>
          <w:bCs/>
          <w:color w:val="000000"/>
          <w:sz w:val="32"/>
          <w:szCs w:val="32"/>
        </w:rPr>
      </w:pPr>
      <w:r>
        <w:rPr>
          <w:rFonts w:hint="eastAsia" w:ascii="仿宋_GB2312" w:hAnsi="仿宋" w:eastAsia="仿宋_GB2312" w:cs="仿宋"/>
          <w:bCs/>
          <w:color w:val="000000"/>
          <w:sz w:val="32"/>
          <w:szCs w:val="32"/>
        </w:rPr>
        <w:t>公安、城市管理</w:t>
      </w:r>
      <w:r>
        <w:rPr>
          <w:rFonts w:hint="eastAsia" w:ascii="仿宋_GB2312" w:hAnsi="黑体" w:eastAsia="仿宋_GB2312" w:cs="黑体"/>
          <w:bCs/>
          <w:color w:val="000000"/>
          <w:sz w:val="32"/>
          <w:szCs w:val="32"/>
        </w:rPr>
        <w:t>行政执法</w:t>
      </w:r>
      <w:r>
        <w:rPr>
          <w:rFonts w:hint="eastAsia" w:ascii="仿宋_GB2312" w:hAnsi="仿宋" w:eastAsia="仿宋_GB2312" w:cs="仿宋"/>
          <w:bCs/>
          <w:color w:val="000000"/>
          <w:sz w:val="32"/>
          <w:szCs w:val="32"/>
        </w:rPr>
        <w:t>、生态环境、水利、文化旅游、应急管理、市场监督管理、林业和草原等部门，按照各自职责，协助做好公园</w:t>
      </w:r>
      <w:r>
        <w:rPr>
          <w:rFonts w:hint="eastAsia" w:ascii="仿宋_GB2312" w:hAnsi="黑体" w:eastAsia="仿宋_GB2312" w:cs="黑体"/>
          <w:bCs/>
          <w:color w:val="000000"/>
          <w:sz w:val="32"/>
          <w:szCs w:val="32"/>
        </w:rPr>
        <w:t>和</w:t>
      </w:r>
      <w:r>
        <w:rPr>
          <w:rFonts w:hint="eastAsia" w:ascii="仿宋_GB2312" w:hAnsi="仿宋" w:eastAsia="仿宋_GB2312" w:cs="仿宋"/>
          <w:bCs/>
          <w:color w:val="000000"/>
          <w:sz w:val="32"/>
          <w:szCs w:val="32"/>
        </w:rPr>
        <w:t>广场管理的相关工作。</w:t>
      </w:r>
    </w:p>
    <w:p w14:paraId="7865D01C">
      <w:pPr>
        <w:spacing w:line="576" w:lineRule="exact"/>
        <w:ind w:firstLine="640" w:firstLineChars="200"/>
        <w:rPr>
          <w:rFonts w:hint="eastAsia" w:ascii="仿宋_GB2312" w:hAnsi="仿宋_GB2312" w:eastAsia="仿宋_GB2312" w:cs="仿宋_GB2312"/>
          <w:bCs/>
          <w:color w:val="000000"/>
          <w:sz w:val="32"/>
          <w:szCs w:val="32"/>
        </w:rPr>
      </w:pPr>
      <w:r>
        <w:rPr>
          <w:rFonts w:hint="eastAsia" w:ascii="仿宋" w:hAnsi="仿宋" w:eastAsia="黑体" w:cs="仿宋"/>
          <w:bCs/>
          <w:color w:val="000000"/>
          <w:sz w:val="32"/>
          <w:szCs w:val="32"/>
        </w:rPr>
        <w:t>第七条　</w:t>
      </w:r>
      <w:r>
        <w:rPr>
          <w:rFonts w:hint="eastAsia" w:ascii="仿宋_GB2312" w:hAnsi="仿宋_GB2312" w:eastAsia="仿宋_GB2312" w:cs="仿宋_GB2312"/>
          <w:bCs/>
          <w:color w:val="000000"/>
          <w:sz w:val="32"/>
          <w:szCs w:val="32"/>
        </w:rPr>
        <w:t>本市对公园和广场实行名录管理与分类分级管理。</w:t>
      </w:r>
    </w:p>
    <w:p w14:paraId="074DF89F">
      <w:pPr>
        <w:spacing w:line="576" w:lineRule="exact"/>
        <w:ind w:firstLine="640" w:firstLineChars="200"/>
        <w:rPr>
          <w:rFonts w:hint="eastAsia" w:ascii="仿宋_GB2312" w:hAnsi="仿宋_GB2312" w:eastAsia="仿宋_GB2312" w:cs="仿宋_GB2312"/>
          <w:bCs/>
          <w:color w:val="000000"/>
          <w:sz w:val="32"/>
          <w:szCs w:val="32"/>
        </w:rPr>
      </w:pPr>
      <w:r>
        <w:rPr>
          <w:rFonts w:hint="eastAsia" w:ascii="仿宋_GB2312" w:hAnsi="仿宋_GB2312" w:eastAsia="仿宋_GB2312" w:cs="仿宋_GB2312"/>
          <w:bCs/>
          <w:color w:val="000000"/>
          <w:sz w:val="32"/>
          <w:szCs w:val="32"/>
        </w:rPr>
        <w:t>住房和城乡建设部门应当规范命名，建立名录，载明名称、类别、位置、面积、管理单位、监管单位和联系方式，并依据其规模、功能、区位等因素分类分级，在养护经费、考核检查等方面实行差异化管理。</w:t>
      </w:r>
    </w:p>
    <w:p w14:paraId="259493A1">
      <w:pPr>
        <w:spacing w:line="576" w:lineRule="exact"/>
        <w:ind w:firstLine="640" w:firstLineChars="200"/>
        <w:rPr>
          <w:rFonts w:hint="eastAsia" w:ascii="仿宋_GB2312" w:hAnsi="仿宋" w:eastAsia="仿宋_GB2312" w:cs="仿宋"/>
          <w:bCs/>
          <w:color w:val="000000"/>
          <w:sz w:val="32"/>
          <w:szCs w:val="32"/>
        </w:rPr>
      </w:pPr>
      <w:r>
        <w:rPr>
          <w:rFonts w:hint="eastAsia" w:ascii="仿宋" w:hAnsi="仿宋" w:eastAsia="黑体" w:cs="仿宋"/>
          <w:bCs/>
          <w:color w:val="000000"/>
          <w:sz w:val="32"/>
          <w:szCs w:val="32"/>
        </w:rPr>
        <w:t>第八条</w:t>
      </w:r>
      <w:r>
        <w:rPr>
          <w:rFonts w:hint="eastAsia" w:ascii="仿宋" w:hAnsi="仿宋" w:eastAsia="仿宋_GB2312" w:cs="仿宋"/>
          <w:bCs/>
          <w:color w:val="000000"/>
          <w:sz w:val="32"/>
          <w:szCs w:val="32"/>
        </w:rPr>
        <w:t>　</w:t>
      </w:r>
      <w:r>
        <w:rPr>
          <w:rFonts w:hint="eastAsia" w:ascii="仿宋_GB2312" w:hAnsi="仿宋" w:eastAsia="仿宋_GB2312" w:cs="仿宋"/>
          <w:bCs/>
          <w:color w:val="000000"/>
          <w:sz w:val="32"/>
          <w:szCs w:val="32"/>
        </w:rPr>
        <w:t>鼓励公民、法人和其他组织</w:t>
      </w:r>
      <w:r>
        <w:rPr>
          <w:rFonts w:hint="eastAsia" w:ascii="仿宋_GB2312" w:hAnsi="黑体" w:eastAsia="仿宋_GB2312" w:cs="黑体"/>
          <w:bCs/>
          <w:color w:val="000000"/>
          <w:sz w:val="32"/>
          <w:szCs w:val="32"/>
        </w:rPr>
        <w:t>通过认种认养</w:t>
      </w:r>
      <w:r>
        <w:rPr>
          <w:rFonts w:hint="eastAsia" w:ascii="仿宋_GB2312" w:hAnsi="仿宋" w:eastAsia="仿宋_GB2312" w:cs="仿宋"/>
          <w:bCs/>
          <w:color w:val="000000"/>
          <w:sz w:val="32"/>
          <w:szCs w:val="32"/>
        </w:rPr>
        <w:t>、</w:t>
      </w:r>
      <w:r>
        <w:rPr>
          <w:rFonts w:hint="eastAsia" w:ascii="仿宋_GB2312" w:hAnsi="黑体" w:eastAsia="仿宋_GB2312" w:cs="黑体"/>
          <w:bCs/>
          <w:color w:val="000000"/>
          <w:sz w:val="32"/>
          <w:szCs w:val="32"/>
        </w:rPr>
        <w:t>捐资捐物、志愿服务</w:t>
      </w:r>
      <w:r>
        <w:rPr>
          <w:rFonts w:hint="eastAsia" w:ascii="仿宋_GB2312" w:hAnsi="仿宋" w:eastAsia="仿宋_GB2312" w:cs="仿宋"/>
          <w:bCs/>
          <w:color w:val="000000"/>
          <w:sz w:val="32"/>
          <w:szCs w:val="32"/>
        </w:rPr>
        <w:t>等方式依法参与公园</w:t>
      </w:r>
      <w:r>
        <w:rPr>
          <w:rFonts w:hint="eastAsia" w:ascii="仿宋_GB2312" w:hAnsi="黑体" w:eastAsia="仿宋_GB2312" w:cs="黑体"/>
          <w:bCs/>
          <w:color w:val="000000"/>
          <w:sz w:val="32"/>
          <w:szCs w:val="32"/>
        </w:rPr>
        <w:t>和</w:t>
      </w:r>
      <w:r>
        <w:rPr>
          <w:rFonts w:hint="eastAsia" w:ascii="仿宋_GB2312" w:hAnsi="仿宋" w:eastAsia="仿宋_GB2312" w:cs="仿宋"/>
          <w:bCs/>
          <w:color w:val="000000"/>
          <w:sz w:val="32"/>
          <w:szCs w:val="32"/>
        </w:rPr>
        <w:t>广场的建设、保护和管理。</w:t>
      </w:r>
    </w:p>
    <w:p w14:paraId="63A2649A">
      <w:pPr>
        <w:spacing w:before="312" w:beforeLines="100" w:after="312" w:afterLines="100" w:line="576" w:lineRule="exact"/>
        <w:jc w:val="center"/>
        <w:rPr>
          <w:rFonts w:ascii="仿宋" w:hAnsi="仿宋" w:eastAsia="黑体" w:cs="仿宋"/>
          <w:bCs/>
          <w:color w:val="000000"/>
          <w:sz w:val="32"/>
          <w:szCs w:val="32"/>
        </w:rPr>
      </w:pPr>
      <w:r>
        <w:rPr>
          <w:rFonts w:hint="eastAsia" w:ascii="仿宋" w:hAnsi="仿宋" w:eastAsia="黑体" w:cs="仿宋"/>
          <w:bCs/>
          <w:color w:val="000000"/>
          <w:sz w:val="32"/>
          <w:szCs w:val="32"/>
        </w:rPr>
        <w:t>第二章　规划和建设</w:t>
      </w:r>
    </w:p>
    <w:p w14:paraId="62ACCE3E">
      <w:pPr>
        <w:spacing w:line="576" w:lineRule="exact"/>
        <w:ind w:firstLine="640" w:firstLineChars="200"/>
        <w:rPr>
          <w:rFonts w:hint="eastAsia" w:ascii="仿宋_GB2312" w:hAnsi="仿宋" w:eastAsia="仿宋_GB2312" w:cs="仿宋"/>
          <w:bCs/>
          <w:color w:val="000000"/>
          <w:sz w:val="32"/>
          <w:szCs w:val="32"/>
        </w:rPr>
      </w:pPr>
      <w:r>
        <w:rPr>
          <w:rFonts w:hint="eastAsia" w:ascii="仿宋" w:hAnsi="仿宋" w:eastAsia="黑体" w:cs="仿宋"/>
          <w:bCs/>
          <w:color w:val="000000"/>
          <w:sz w:val="32"/>
          <w:szCs w:val="32"/>
        </w:rPr>
        <w:t>第九条　</w:t>
      </w:r>
      <w:r>
        <w:rPr>
          <w:rFonts w:hint="eastAsia" w:ascii="仿宋" w:hAnsi="仿宋" w:eastAsia="仿宋_GB2312" w:cs="仿宋"/>
          <w:bCs/>
          <w:color w:val="000000"/>
          <w:sz w:val="32"/>
          <w:szCs w:val="32"/>
        </w:rPr>
        <w:t>任何单</w:t>
      </w:r>
      <w:r>
        <w:rPr>
          <w:rFonts w:hint="eastAsia" w:ascii="仿宋_GB2312" w:hAnsi="仿宋" w:eastAsia="仿宋_GB2312" w:cs="仿宋"/>
          <w:bCs/>
          <w:color w:val="000000"/>
          <w:sz w:val="32"/>
          <w:szCs w:val="32"/>
        </w:rPr>
        <w:t>位和个人都不得擅自占用公园</w:t>
      </w:r>
      <w:r>
        <w:rPr>
          <w:rFonts w:hint="eastAsia" w:ascii="仿宋_GB2312" w:hAnsi="黑体" w:eastAsia="仿宋_GB2312" w:cs="黑体"/>
          <w:bCs/>
          <w:color w:val="000000"/>
          <w:sz w:val="32"/>
          <w:szCs w:val="32"/>
        </w:rPr>
        <w:t>和</w:t>
      </w:r>
      <w:r>
        <w:rPr>
          <w:rFonts w:hint="eastAsia" w:ascii="仿宋_GB2312" w:hAnsi="仿宋" w:eastAsia="仿宋_GB2312" w:cs="仿宋"/>
          <w:bCs/>
          <w:color w:val="000000"/>
          <w:sz w:val="32"/>
          <w:szCs w:val="32"/>
        </w:rPr>
        <w:t>广场绿化用地。</w:t>
      </w:r>
    </w:p>
    <w:p w14:paraId="6EA6EE3D">
      <w:pPr>
        <w:spacing w:line="576" w:lineRule="exact"/>
        <w:ind w:firstLine="640" w:firstLineChars="200"/>
        <w:rPr>
          <w:rFonts w:hint="eastAsia" w:ascii="仿宋_GB2312" w:hAnsi="仿宋_GB2312" w:eastAsia="仿宋_GB2312" w:cs="仿宋_GB2312"/>
          <w:bCs/>
          <w:color w:val="000000"/>
          <w:sz w:val="32"/>
          <w:szCs w:val="32"/>
        </w:rPr>
      </w:pPr>
      <w:r>
        <w:rPr>
          <w:rFonts w:hint="eastAsia" w:ascii="仿宋_GB2312" w:hAnsi="仿宋_GB2312" w:eastAsia="仿宋_GB2312" w:cs="仿宋_GB2312"/>
          <w:bCs/>
          <w:color w:val="000000"/>
          <w:sz w:val="32"/>
          <w:szCs w:val="32"/>
        </w:rPr>
        <w:t>因建设或者其他特殊需要临时占用公园和广场绿化用地，应当经住房和城乡建设部门同意，办理临时用地手续，使用期满建设单位应当及时予以恢复，造成损失的，应当予以补偿。</w:t>
      </w:r>
    </w:p>
    <w:p w14:paraId="7AAA99BD">
      <w:pPr>
        <w:spacing w:line="576" w:lineRule="exact"/>
        <w:ind w:firstLine="640" w:firstLineChars="200"/>
        <w:rPr>
          <w:rFonts w:hint="eastAsia" w:ascii="仿宋_GB2312" w:hAnsi="仿宋" w:eastAsia="仿宋_GB2312" w:cs="仿宋"/>
          <w:bCs/>
          <w:color w:val="000000"/>
          <w:sz w:val="32"/>
          <w:szCs w:val="32"/>
        </w:rPr>
      </w:pPr>
      <w:r>
        <w:rPr>
          <w:rFonts w:hint="eastAsia" w:ascii="仿宋" w:hAnsi="仿宋" w:eastAsia="黑体" w:cs="仿宋"/>
          <w:bCs/>
          <w:color w:val="000000"/>
          <w:sz w:val="32"/>
          <w:szCs w:val="32"/>
        </w:rPr>
        <w:t>第十条　</w:t>
      </w:r>
      <w:r>
        <w:rPr>
          <w:rFonts w:hint="eastAsia" w:ascii="仿宋_GB2312" w:hAnsi="仿宋" w:eastAsia="仿宋_GB2312" w:cs="仿宋"/>
          <w:bCs/>
          <w:color w:val="000000"/>
          <w:sz w:val="32"/>
          <w:szCs w:val="32"/>
        </w:rPr>
        <w:t>公园</w:t>
      </w:r>
      <w:r>
        <w:rPr>
          <w:rFonts w:hint="eastAsia" w:ascii="仿宋_GB2312" w:hAnsi="黑体" w:eastAsia="仿宋_GB2312" w:cs="黑体"/>
          <w:bCs/>
          <w:color w:val="000000"/>
          <w:sz w:val="32"/>
          <w:szCs w:val="32"/>
        </w:rPr>
        <w:t>和</w:t>
      </w:r>
      <w:r>
        <w:rPr>
          <w:rFonts w:hint="eastAsia" w:ascii="仿宋_GB2312" w:hAnsi="仿宋" w:eastAsia="仿宋_GB2312" w:cs="仿宋"/>
          <w:bCs/>
          <w:color w:val="000000"/>
          <w:sz w:val="32"/>
          <w:szCs w:val="32"/>
        </w:rPr>
        <w:t>广场地下空间的公益性开发利用应当合理利用土地资源，严格控制公园</w:t>
      </w:r>
      <w:r>
        <w:rPr>
          <w:rFonts w:hint="eastAsia" w:ascii="仿宋_GB2312" w:hAnsi="黑体" w:eastAsia="仿宋_GB2312" w:cs="黑体"/>
          <w:bCs/>
          <w:color w:val="000000"/>
          <w:sz w:val="32"/>
          <w:szCs w:val="32"/>
        </w:rPr>
        <w:t>和</w:t>
      </w:r>
      <w:r>
        <w:rPr>
          <w:rFonts w:hint="eastAsia" w:ascii="仿宋_GB2312" w:hAnsi="仿宋" w:eastAsia="仿宋_GB2312" w:cs="仿宋"/>
          <w:bCs/>
          <w:color w:val="000000"/>
          <w:sz w:val="32"/>
          <w:szCs w:val="32"/>
        </w:rPr>
        <w:t>广场地下空间的商业性开发，确保公园</w:t>
      </w:r>
      <w:r>
        <w:rPr>
          <w:rFonts w:hint="eastAsia" w:ascii="仿宋_GB2312" w:hAnsi="黑体" w:eastAsia="仿宋_GB2312" w:cs="黑体"/>
          <w:bCs/>
          <w:color w:val="000000"/>
          <w:sz w:val="32"/>
          <w:szCs w:val="32"/>
        </w:rPr>
        <w:t>和</w:t>
      </w:r>
      <w:r>
        <w:rPr>
          <w:rFonts w:hint="eastAsia" w:ascii="仿宋_GB2312" w:hAnsi="仿宋" w:eastAsia="仿宋_GB2312" w:cs="仿宋"/>
          <w:bCs/>
          <w:color w:val="000000"/>
          <w:sz w:val="32"/>
          <w:szCs w:val="32"/>
        </w:rPr>
        <w:t>广场功能正常发挥。</w:t>
      </w:r>
    </w:p>
    <w:p w14:paraId="09C661D1">
      <w:pPr>
        <w:spacing w:line="576" w:lineRule="exact"/>
        <w:ind w:firstLine="640" w:firstLineChars="200"/>
        <w:rPr>
          <w:rFonts w:hint="eastAsia" w:ascii="仿宋_GB2312" w:hAnsi="仿宋_GB2312" w:eastAsia="仿宋_GB2312" w:cs="仿宋_GB2312"/>
          <w:bCs/>
          <w:color w:val="000000"/>
          <w:sz w:val="32"/>
          <w:szCs w:val="32"/>
        </w:rPr>
      </w:pPr>
      <w:r>
        <w:rPr>
          <w:rFonts w:hint="eastAsia" w:ascii="仿宋" w:hAnsi="仿宋" w:eastAsia="黑体" w:cs="仿宋"/>
          <w:bCs/>
          <w:color w:val="000000"/>
          <w:sz w:val="32"/>
          <w:szCs w:val="32"/>
        </w:rPr>
        <w:t>第十一条　</w:t>
      </w:r>
      <w:r>
        <w:rPr>
          <w:rFonts w:hint="eastAsia" w:ascii="仿宋_GB2312" w:hAnsi="仿宋" w:eastAsia="仿宋_GB2312" w:cs="仿宋"/>
          <w:bCs/>
          <w:color w:val="000000"/>
          <w:sz w:val="32"/>
          <w:szCs w:val="32"/>
        </w:rPr>
        <w:t>公园</w:t>
      </w:r>
      <w:r>
        <w:rPr>
          <w:rFonts w:hint="eastAsia" w:ascii="仿宋_GB2312" w:hAnsi="黑体" w:eastAsia="仿宋_GB2312" w:cs="黑体"/>
          <w:bCs/>
          <w:color w:val="000000"/>
          <w:sz w:val="32"/>
          <w:szCs w:val="32"/>
        </w:rPr>
        <w:t>和</w:t>
      </w:r>
      <w:r>
        <w:rPr>
          <w:rFonts w:hint="eastAsia" w:ascii="仿宋_GB2312" w:hAnsi="仿宋" w:eastAsia="仿宋_GB2312" w:cs="仿宋"/>
          <w:bCs/>
          <w:color w:val="000000"/>
          <w:sz w:val="32"/>
          <w:szCs w:val="32"/>
        </w:rPr>
        <w:t>广场内新建、改建、扩建建（构）筑物的体量、造型、高度、色彩，</w:t>
      </w:r>
      <w:r>
        <w:rPr>
          <w:rFonts w:hint="eastAsia" w:ascii="仿宋_GB2312" w:hAnsi="仿宋_GB2312" w:eastAsia="仿宋_GB2312" w:cs="仿宋_GB2312"/>
          <w:bCs/>
          <w:color w:val="000000"/>
          <w:sz w:val="32"/>
          <w:szCs w:val="32"/>
        </w:rPr>
        <w:t>应当与周边景观</w:t>
      </w:r>
      <w:r>
        <w:rPr>
          <w:rFonts w:hint="eastAsia" w:ascii="仿宋_GB2312" w:hAnsi="仿宋" w:eastAsia="仿宋_GB2312" w:cs="仿宋"/>
          <w:bCs/>
          <w:color w:val="000000"/>
          <w:sz w:val="32"/>
          <w:szCs w:val="32"/>
        </w:rPr>
        <w:t>、环境相协调</w:t>
      </w:r>
      <w:r>
        <w:rPr>
          <w:rFonts w:hint="eastAsia" w:ascii="仿宋_GB2312" w:hAnsi="仿宋_GB2312" w:eastAsia="仿宋_GB2312" w:cs="仿宋_GB2312"/>
          <w:bCs/>
          <w:color w:val="000000"/>
          <w:sz w:val="32"/>
          <w:szCs w:val="32"/>
        </w:rPr>
        <w:t>。</w:t>
      </w:r>
    </w:p>
    <w:p w14:paraId="79E977B3">
      <w:pPr>
        <w:spacing w:line="576" w:lineRule="exact"/>
        <w:ind w:firstLine="640" w:firstLineChars="200"/>
        <w:rPr>
          <w:rFonts w:hint="eastAsia" w:ascii="仿宋_GB2312" w:hAnsi="仿宋_GB2312" w:eastAsia="仿宋_GB2312" w:cs="仿宋_GB2312"/>
          <w:bCs/>
          <w:color w:val="000000"/>
          <w:sz w:val="32"/>
          <w:szCs w:val="32"/>
        </w:rPr>
      </w:pPr>
      <w:r>
        <w:rPr>
          <w:rFonts w:hint="eastAsia" w:ascii="仿宋" w:hAnsi="仿宋" w:eastAsia="黑体" w:cs="仿宋"/>
          <w:bCs/>
          <w:color w:val="000000"/>
          <w:sz w:val="32"/>
          <w:szCs w:val="32"/>
        </w:rPr>
        <w:t>第十二条</w:t>
      </w:r>
      <w:r>
        <w:rPr>
          <w:rFonts w:hint="eastAsia" w:ascii="仿宋" w:hAnsi="仿宋" w:eastAsia="仿宋_GB2312" w:cs="仿宋"/>
          <w:bCs/>
          <w:color w:val="000000"/>
          <w:sz w:val="32"/>
          <w:szCs w:val="32"/>
        </w:rPr>
        <w:t>　</w:t>
      </w:r>
      <w:r>
        <w:rPr>
          <w:rFonts w:hint="eastAsia" w:ascii="仿宋_GB2312" w:hAnsi="仿宋" w:eastAsia="仿宋_GB2312" w:cs="仿宋"/>
          <w:bCs/>
          <w:color w:val="000000"/>
          <w:sz w:val="32"/>
          <w:szCs w:val="32"/>
        </w:rPr>
        <w:t>公园</w:t>
      </w:r>
      <w:r>
        <w:rPr>
          <w:rFonts w:hint="eastAsia" w:ascii="仿宋_GB2312" w:hAnsi="黑体" w:eastAsia="仿宋_GB2312" w:cs="黑体"/>
          <w:bCs/>
          <w:color w:val="000000"/>
          <w:sz w:val="32"/>
          <w:szCs w:val="32"/>
        </w:rPr>
        <w:t>和</w:t>
      </w:r>
      <w:r>
        <w:rPr>
          <w:rFonts w:hint="eastAsia" w:ascii="仿宋_GB2312" w:hAnsi="仿宋" w:eastAsia="仿宋_GB2312" w:cs="仿宋"/>
          <w:bCs/>
          <w:color w:val="000000"/>
          <w:sz w:val="32"/>
          <w:szCs w:val="32"/>
        </w:rPr>
        <w:t>广场内</w:t>
      </w:r>
      <w:r>
        <w:rPr>
          <w:rFonts w:hint="eastAsia" w:ascii="仿宋_GB2312" w:hAnsi="仿宋_GB2312" w:eastAsia="仿宋_GB2312" w:cs="仿宋_GB2312"/>
          <w:bCs/>
          <w:color w:val="000000"/>
          <w:sz w:val="32"/>
          <w:szCs w:val="32"/>
        </w:rPr>
        <w:t>的文化、游乐及配套的服务设施应当与公园和广场功能、规模、景观相协调，设置在相应的区域内，并符合环境保护要求。大型游乐设施应当依法经市场监督管理等相关部门验收合格后方可使用，并定期检修、保养、更新。</w:t>
      </w:r>
    </w:p>
    <w:p w14:paraId="010683E9">
      <w:pPr>
        <w:spacing w:line="576" w:lineRule="exact"/>
        <w:ind w:firstLine="640" w:firstLineChars="200"/>
        <w:rPr>
          <w:rFonts w:hint="eastAsia" w:ascii="仿宋_GB2312" w:hAnsi="仿宋_GB2312" w:eastAsia="仿宋_GB2312" w:cs="仿宋_GB2312"/>
          <w:bCs/>
          <w:color w:val="000000"/>
          <w:sz w:val="32"/>
          <w:szCs w:val="32"/>
        </w:rPr>
      </w:pPr>
      <w:r>
        <w:rPr>
          <w:rFonts w:hint="eastAsia" w:ascii="仿宋" w:hAnsi="仿宋" w:eastAsia="黑体" w:cs="仿宋"/>
          <w:bCs/>
          <w:color w:val="000000"/>
          <w:sz w:val="32"/>
          <w:szCs w:val="32"/>
        </w:rPr>
        <w:t>第十三条</w:t>
      </w:r>
      <w:r>
        <w:rPr>
          <w:rFonts w:hint="eastAsia" w:ascii="仿宋" w:hAnsi="仿宋" w:eastAsia="仿宋_GB2312" w:cs="仿宋"/>
          <w:bCs/>
          <w:color w:val="000000"/>
          <w:sz w:val="32"/>
          <w:szCs w:val="32"/>
        </w:rPr>
        <w:t>　</w:t>
      </w:r>
      <w:r>
        <w:rPr>
          <w:rFonts w:hint="eastAsia" w:ascii="仿宋_GB2312" w:hAnsi="仿宋_GB2312" w:eastAsia="仿宋_GB2312" w:cs="仿宋_GB2312"/>
          <w:bCs/>
          <w:color w:val="000000"/>
          <w:sz w:val="32"/>
          <w:szCs w:val="32"/>
        </w:rPr>
        <w:t>公园和广场内的供电、供热、供气、通讯、给排水及其他基础设施不得影响人身安全和植物生长，不得破坏公园和广场景观。</w:t>
      </w:r>
    </w:p>
    <w:p w14:paraId="27AFC7B9">
      <w:pPr>
        <w:spacing w:line="576" w:lineRule="exact"/>
        <w:ind w:firstLine="640" w:firstLineChars="200"/>
        <w:rPr>
          <w:rFonts w:hint="eastAsia" w:ascii="仿宋_GB2312" w:hAnsi="仿宋_GB2312" w:eastAsia="仿宋_GB2312" w:cs="仿宋_GB2312"/>
          <w:bCs/>
          <w:color w:val="000000"/>
          <w:sz w:val="32"/>
          <w:szCs w:val="32"/>
        </w:rPr>
      </w:pPr>
      <w:r>
        <w:rPr>
          <w:rFonts w:hint="eastAsia" w:ascii="黑体" w:hAnsi="黑体" w:eastAsia="黑体" w:cs="黑体"/>
          <w:bCs/>
          <w:color w:val="000000"/>
          <w:sz w:val="32"/>
          <w:szCs w:val="32"/>
        </w:rPr>
        <w:t>第十四条</w:t>
      </w:r>
      <w:r>
        <w:rPr>
          <w:rFonts w:hint="eastAsia" w:ascii="楷体" w:hAnsi="楷体" w:eastAsia="楷体" w:cs="楷体"/>
          <w:bCs/>
          <w:color w:val="000000"/>
          <w:sz w:val="32"/>
          <w:szCs w:val="32"/>
        </w:rPr>
        <w:t>　</w:t>
      </w:r>
      <w:r>
        <w:rPr>
          <w:rFonts w:hint="eastAsia" w:ascii="仿宋_GB2312" w:hAnsi="仿宋" w:eastAsia="仿宋_GB2312" w:cs="仿宋"/>
          <w:bCs/>
          <w:color w:val="000000"/>
          <w:sz w:val="32"/>
          <w:szCs w:val="32"/>
        </w:rPr>
        <w:t>具有应急避险功能的公园</w:t>
      </w:r>
      <w:r>
        <w:rPr>
          <w:rFonts w:hint="eastAsia" w:ascii="仿宋_GB2312" w:hAnsi="黑体" w:eastAsia="仿宋_GB2312" w:cs="黑体"/>
          <w:bCs/>
          <w:color w:val="000000"/>
          <w:sz w:val="32"/>
          <w:szCs w:val="32"/>
        </w:rPr>
        <w:t>和</w:t>
      </w:r>
      <w:r>
        <w:rPr>
          <w:rFonts w:hint="eastAsia" w:ascii="仿宋_GB2312" w:hAnsi="仿宋" w:eastAsia="仿宋_GB2312" w:cs="仿宋"/>
          <w:bCs/>
          <w:color w:val="000000"/>
          <w:sz w:val="32"/>
          <w:szCs w:val="32"/>
        </w:rPr>
        <w:t>广场，应</w:t>
      </w:r>
      <w:r>
        <w:rPr>
          <w:rFonts w:hint="eastAsia" w:ascii="仿宋_GB2312" w:hAnsi="黑体" w:eastAsia="仿宋_GB2312" w:cs="黑体"/>
          <w:bCs/>
          <w:color w:val="000000"/>
          <w:sz w:val="32"/>
          <w:szCs w:val="32"/>
        </w:rPr>
        <w:t>当</w:t>
      </w:r>
      <w:r>
        <w:rPr>
          <w:rFonts w:hint="eastAsia" w:ascii="仿宋_GB2312" w:hAnsi="仿宋" w:eastAsia="仿宋_GB2312" w:cs="仿宋"/>
          <w:bCs/>
          <w:color w:val="000000"/>
          <w:sz w:val="32"/>
          <w:szCs w:val="32"/>
        </w:rPr>
        <w:t>根据灾害类型以及承担的主要功</w:t>
      </w:r>
      <w:r>
        <w:rPr>
          <w:rFonts w:hint="eastAsia" w:ascii="仿宋_GB2312" w:hAnsi="仿宋_GB2312" w:eastAsia="仿宋_GB2312" w:cs="仿宋_GB2312"/>
          <w:bCs/>
          <w:color w:val="000000"/>
          <w:sz w:val="32"/>
          <w:szCs w:val="32"/>
        </w:rPr>
        <w:t>能，建设应急避护场所和设施，并设置显著的指示标志。</w:t>
      </w:r>
    </w:p>
    <w:p w14:paraId="4970B092">
      <w:pPr>
        <w:spacing w:line="576" w:lineRule="exact"/>
        <w:ind w:firstLine="640" w:firstLineChars="200"/>
        <w:rPr>
          <w:rFonts w:hint="eastAsia" w:ascii="仿宋_GB2312" w:hAnsi="仿宋" w:eastAsia="仿宋_GB2312" w:cs="仿宋"/>
          <w:bCs/>
          <w:color w:val="000000"/>
          <w:sz w:val="32"/>
          <w:szCs w:val="32"/>
        </w:rPr>
      </w:pPr>
      <w:r>
        <w:rPr>
          <w:rFonts w:hint="eastAsia" w:ascii="仿宋" w:hAnsi="仿宋" w:eastAsia="黑体" w:cs="仿宋"/>
          <w:bCs/>
          <w:color w:val="000000"/>
          <w:sz w:val="32"/>
          <w:szCs w:val="32"/>
        </w:rPr>
        <w:t>第十五条</w:t>
      </w:r>
      <w:r>
        <w:rPr>
          <w:rFonts w:hint="eastAsia" w:ascii="仿宋" w:hAnsi="仿宋" w:eastAsia="仿宋_GB2312" w:cs="仿宋"/>
          <w:bCs/>
          <w:color w:val="000000"/>
          <w:sz w:val="32"/>
          <w:szCs w:val="32"/>
        </w:rPr>
        <w:t>　</w:t>
      </w:r>
      <w:r>
        <w:rPr>
          <w:rFonts w:hint="eastAsia" w:ascii="仿宋_GB2312" w:hAnsi="仿宋" w:eastAsia="仿宋_GB2312" w:cs="仿宋"/>
          <w:bCs/>
          <w:color w:val="000000"/>
          <w:sz w:val="32"/>
          <w:szCs w:val="32"/>
        </w:rPr>
        <w:t>公园</w:t>
      </w:r>
      <w:r>
        <w:rPr>
          <w:rFonts w:hint="eastAsia" w:ascii="仿宋_GB2312" w:hAnsi="黑体" w:eastAsia="仿宋_GB2312" w:cs="黑体"/>
          <w:bCs/>
          <w:color w:val="000000"/>
          <w:sz w:val="32"/>
          <w:szCs w:val="32"/>
        </w:rPr>
        <w:t>和</w:t>
      </w:r>
      <w:r>
        <w:rPr>
          <w:rFonts w:hint="eastAsia" w:ascii="仿宋_GB2312" w:hAnsi="仿宋" w:eastAsia="仿宋_GB2312" w:cs="仿宋"/>
          <w:bCs/>
          <w:color w:val="000000"/>
          <w:sz w:val="32"/>
          <w:szCs w:val="32"/>
        </w:rPr>
        <w:t>广场出入口、游览道路、景点出入口及公共厕所等应当设置无障碍设施。</w:t>
      </w:r>
    </w:p>
    <w:p w14:paraId="73FAF024">
      <w:pPr>
        <w:spacing w:line="576" w:lineRule="exact"/>
        <w:ind w:firstLine="640" w:firstLineChars="200"/>
        <w:rPr>
          <w:rFonts w:hint="eastAsia" w:ascii="仿宋_GB2312" w:hAnsi="仿宋" w:eastAsia="仿宋_GB2312" w:cs="仿宋"/>
          <w:bCs/>
          <w:color w:val="000000"/>
          <w:sz w:val="32"/>
          <w:szCs w:val="32"/>
        </w:rPr>
      </w:pPr>
      <w:r>
        <w:rPr>
          <w:rFonts w:hint="eastAsia" w:ascii="仿宋" w:hAnsi="仿宋" w:eastAsia="黑体" w:cs="仿宋"/>
          <w:bCs/>
          <w:color w:val="000000"/>
          <w:sz w:val="32"/>
          <w:szCs w:val="32"/>
        </w:rPr>
        <w:t>第十六条</w:t>
      </w:r>
      <w:r>
        <w:rPr>
          <w:rFonts w:hint="eastAsia" w:ascii="仿宋" w:hAnsi="仿宋" w:eastAsia="仿宋_GB2312" w:cs="仿宋"/>
          <w:bCs/>
          <w:color w:val="000000"/>
          <w:sz w:val="32"/>
          <w:szCs w:val="32"/>
        </w:rPr>
        <w:t>　</w:t>
      </w:r>
      <w:r>
        <w:rPr>
          <w:rFonts w:hint="eastAsia" w:ascii="仿宋_GB2312" w:hAnsi="仿宋" w:eastAsia="仿宋_GB2312" w:cs="仿宋"/>
          <w:bCs/>
          <w:color w:val="000000"/>
          <w:sz w:val="32"/>
          <w:szCs w:val="32"/>
        </w:rPr>
        <w:t>公园</w:t>
      </w:r>
      <w:r>
        <w:rPr>
          <w:rFonts w:hint="eastAsia" w:ascii="仿宋_GB2312" w:hAnsi="黑体" w:eastAsia="仿宋_GB2312" w:cs="黑体"/>
          <w:bCs/>
          <w:color w:val="000000"/>
          <w:sz w:val="32"/>
          <w:szCs w:val="32"/>
        </w:rPr>
        <w:t>和</w:t>
      </w:r>
      <w:r>
        <w:rPr>
          <w:rFonts w:hint="eastAsia" w:ascii="仿宋_GB2312" w:hAnsi="仿宋" w:eastAsia="仿宋_GB2312" w:cs="仿宋"/>
          <w:bCs/>
          <w:color w:val="000000"/>
          <w:sz w:val="32"/>
          <w:szCs w:val="32"/>
        </w:rPr>
        <w:t>广场内属于特种设</w:t>
      </w:r>
      <w:r>
        <w:rPr>
          <w:rFonts w:hint="eastAsia" w:ascii="仿宋_GB2312" w:hAnsi="仿宋_GB2312" w:eastAsia="仿宋_GB2312" w:cs="仿宋_GB2312"/>
          <w:bCs/>
          <w:color w:val="000000"/>
          <w:sz w:val="32"/>
          <w:szCs w:val="32"/>
        </w:rPr>
        <w:t>备的设施，应当依法办理使用登记，设置安全警示标识、标志，配备专业</w:t>
      </w:r>
      <w:r>
        <w:rPr>
          <w:rFonts w:hint="eastAsia" w:ascii="仿宋_GB2312" w:hAnsi="仿宋" w:eastAsia="仿宋_GB2312" w:cs="仿宋"/>
          <w:bCs/>
          <w:color w:val="000000"/>
          <w:sz w:val="32"/>
          <w:szCs w:val="32"/>
        </w:rPr>
        <w:t>技术人员和操作人员，并定期检查保养，保持完好、安全。</w:t>
      </w:r>
    </w:p>
    <w:p w14:paraId="01F38266">
      <w:pPr>
        <w:spacing w:line="576" w:lineRule="exact"/>
        <w:ind w:firstLine="640" w:firstLineChars="200"/>
        <w:rPr>
          <w:rFonts w:hint="eastAsia" w:ascii="仿宋_GB2312" w:hAnsi="仿宋" w:eastAsia="仿宋_GB2312" w:cs="仿宋"/>
          <w:bCs/>
          <w:color w:val="000000"/>
          <w:sz w:val="32"/>
          <w:szCs w:val="32"/>
        </w:rPr>
      </w:pPr>
      <w:r>
        <w:rPr>
          <w:rFonts w:hint="eastAsia" w:ascii="仿宋" w:hAnsi="仿宋" w:eastAsia="黑体" w:cs="仿宋"/>
          <w:bCs/>
          <w:color w:val="000000"/>
          <w:sz w:val="32"/>
          <w:szCs w:val="32"/>
        </w:rPr>
        <w:t>第十七条　</w:t>
      </w:r>
      <w:r>
        <w:rPr>
          <w:rFonts w:hint="eastAsia" w:ascii="仿宋_GB2312" w:hAnsi="仿宋" w:eastAsia="仿宋_GB2312" w:cs="仿宋"/>
          <w:bCs/>
          <w:color w:val="000000"/>
          <w:sz w:val="32"/>
          <w:szCs w:val="32"/>
        </w:rPr>
        <w:t>公园</w:t>
      </w:r>
      <w:r>
        <w:rPr>
          <w:rFonts w:hint="eastAsia" w:ascii="仿宋_GB2312" w:hAnsi="黑体" w:eastAsia="仿宋_GB2312" w:cs="黑体"/>
          <w:bCs/>
          <w:color w:val="000000"/>
          <w:sz w:val="32"/>
          <w:szCs w:val="32"/>
        </w:rPr>
        <w:t>和</w:t>
      </w:r>
      <w:r>
        <w:rPr>
          <w:rFonts w:hint="eastAsia" w:ascii="仿宋_GB2312" w:hAnsi="仿宋" w:eastAsia="仿宋_GB2312" w:cs="仿宋"/>
          <w:bCs/>
          <w:color w:val="000000"/>
          <w:sz w:val="32"/>
          <w:szCs w:val="32"/>
        </w:rPr>
        <w:t>广场建设项目的设计方案必须符合国</w:t>
      </w:r>
      <w:r>
        <w:rPr>
          <w:rFonts w:hint="eastAsia" w:ascii="仿宋_GB2312" w:hAnsi="仿宋_GB2312" w:eastAsia="仿宋_GB2312" w:cs="仿宋_GB2312"/>
          <w:bCs/>
          <w:color w:val="000000"/>
          <w:sz w:val="32"/>
          <w:szCs w:val="32"/>
        </w:rPr>
        <w:t>家强制性标准和规</w:t>
      </w:r>
      <w:r>
        <w:rPr>
          <w:rFonts w:hint="eastAsia" w:ascii="仿宋_GB2312" w:hAnsi="仿宋" w:eastAsia="仿宋_GB2312" w:cs="仿宋"/>
          <w:bCs/>
          <w:color w:val="000000"/>
          <w:sz w:val="32"/>
          <w:szCs w:val="32"/>
        </w:rPr>
        <w:t>范。承担公园</w:t>
      </w:r>
      <w:r>
        <w:rPr>
          <w:rFonts w:hint="eastAsia" w:ascii="仿宋_GB2312" w:hAnsi="黑体" w:eastAsia="仿宋_GB2312" w:cs="黑体"/>
          <w:bCs/>
          <w:color w:val="000000"/>
          <w:sz w:val="32"/>
          <w:szCs w:val="32"/>
        </w:rPr>
        <w:t>和</w:t>
      </w:r>
      <w:r>
        <w:rPr>
          <w:rFonts w:hint="eastAsia" w:ascii="仿宋_GB2312" w:hAnsi="仿宋" w:eastAsia="仿宋_GB2312" w:cs="仿宋"/>
          <w:bCs/>
          <w:color w:val="000000"/>
          <w:sz w:val="32"/>
          <w:szCs w:val="32"/>
        </w:rPr>
        <w:t>广场建设项目的勘察、设计、施工、监理单位应当具备国家规定的相应资质。</w:t>
      </w:r>
    </w:p>
    <w:p w14:paraId="02DB6DBD">
      <w:pPr>
        <w:spacing w:before="312" w:beforeLines="100" w:after="312" w:afterLines="100" w:line="576" w:lineRule="exact"/>
        <w:jc w:val="center"/>
        <w:rPr>
          <w:rFonts w:ascii="仿宋" w:hAnsi="仿宋" w:eastAsia="黑体" w:cs="仿宋"/>
          <w:bCs/>
          <w:color w:val="000000"/>
          <w:sz w:val="32"/>
          <w:szCs w:val="32"/>
        </w:rPr>
      </w:pPr>
      <w:r>
        <w:rPr>
          <w:rFonts w:hint="eastAsia" w:ascii="仿宋" w:hAnsi="仿宋" w:eastAsia="黑体" w:cs="仿宋"/>
          <w:bCs/>
          <w:color w:val="000000"/>
          <w:sz w:val="32"/>
          <w:szCs w:val="32"/>
        </w:rPr>
        <w:t>第三章　管理与服务</w:t>
      </w:r>
    </w:p>
    <w:p w14:paraId="45866174">
      <w:pPr>
        <w:spacing w:line="576" w:lineRule="exact"/>
        <w:ind w:firstLine="640" w:firstLineChars="200"/>
        <w:rPr>
          <w:rFonts w:hint="eastAsia" w:ascii="仿宋_GB2312" w:hAnsi="仿宋" w:eastAsia="仿宋_GB2312" w:cs="仿宋"/>
          <w:bCs/>
          <w:color w:val="000000"/>
          <w:sz w:val="32"/>
          <w:szCs w:val="32"/>
        </w:rPr>
      </w:pPr>
      <w:r>
        <w:rPr>
          <w:rFonts w:hint="eastAsia" w:ascii="仿宋" w:hAnsi="仿宋" w:eastAsia="黑体" w:cs="仿宋"/>
          <w:bCs/>
          <w:color w:val="000000"/>
          <w:sz w:val="32"/>
          <w:szCs w:val="32"/>
        </w:rPr>
        <w:t>第十八条　</w:t>
      </w:r>
      <w:r>
        <w:rPr>
          <w:rFonts w:hint="eastAsia" w:ascii="仿宋_GB2312" w:hAnsi="仿宋" w:eastAsia="仿宋_GB2312" w:cs="仿宋"/>
          <w:bCs/>
          <w:color w:val="000000"/>
          <w:sz w:val="32"/>
          <w:szCs w:val="32"/>
        </w:rPr>
        <w:t>公园</w:t>
      </w:r>
      <w:r>
        <w:rPr>
          <w:rFonts w:hint="eastAsia" w:ascii="仿宋_GB2312" w:hAnsi="黑体" w:eastAsia="仿宋_GB2312" w:cs="黑体"/>
          <w:bCs/>
          <w:color w:val="000000"/>
          <w:sz w:val="32"/>
          <w:szCs w:val="32"/>
        </w:rPr>
        <w:t>和</w:t>
      </w:r>
      <w:r>
        <w:rPr>
          <w:rFonts w:hint="eastAsia" w:ascii="仿宋_GB2312" w:hAnsi="仿宋" w:eastAsia="仿宋_GB2312" w:cs="仿宋"/>
          <w:bCs/>
          <w:color w:val="000000"/>
          <w:sz w:val="32"/>
          <w:szCs w:val="32"/>
        </w:rPr>
        <w:t>广场管理机构应当履行下列职责：</w:t>
      </w:r>
    </w:p>
    <w:p w14:paraId="6B48C294">
      <w:pPr>
        <w:spacing w:line="576" w:lineRule="exact"/>
        <w:ind w:firstLine="640" w:firstLineChars="200"/>
        <w:rPr>
          <w:rFonts w:hint="eastAsia" w:ascii="仿宋_GB2312" w:hAnsi="仿宋_GB2312" w:eastAsia="仿宋_GB2312" w:cs="仿宋_GB2312"/>
          <w:bCs/>
          <w:color w:val="000000"/>
          <w:sz w:val="32"/>
          <w:szCs w:val="32"/>
        </w:rPr>
      </w:pPr>
      <w:r>
        <w:rPr>
          <w:rFonts w:hint="eastAsia" w:ascii="仿宋_GB2312" w:hAnsi="仿宋_GB2312" w:eastAsia="仿宋_GB2312" w:cs="仿宋_GB2312"/>
          <w:bCs/>
          <w:color w:val="000000"/>
          <w:sz w:val="32"/>
          <w:szCs w:val="32"/>
        </w:rPr>
        <w:t>（一）建立健全管理制度；</w:t>
      </w:r>
    </w:p>
    <w:p w14:paraId="10483CAA">
      <w:pPr>
        <w:spacing w:line="576" w:lineRule="exact"/>
        <w:ind w:firstLine="640" w:firstLineChars="200"/>
        <w:rPr>
          <w:rFonts w:hint="eastAsia" w:ascii="仿宋_GB2312" w:hAnsi="仿宋_GB2312" w:eastAsia="仿宋_GB2312" w:cs="仿宋_GB2312"/>
          <w:bCs/>
          <w:color w:val="000000"/>
          <w:sz w:val="32"/>
          <w:szCs w:val="32"/>
        </w:rPr>
      </w:pPr>
      <w:r>
        <w:rPr>
          <w:rFonts w:hint="eastAsia" w:ascii="仿宋_GB2312" w:hAnsi="仿宋_GB2312" w:eastAsia="仿宋_GB2312" w:cs="仿宋_GB2312"/>
          <w:bCs/>
          <w:color w:val="000000"/>
          <w:sz w:val="32"/>
          <w:szCs w:val="32"/>
        </w:rPr>
        <w:t>（二）做好安全管理、卫生保洁、园林绿化、动植物保护，维护游览秩序；</w:t>
      </w:r>
    </w:p>
    <w:p w14:paraId="46CA860A">
      <w:pPr>
        <w:spacing w:line="576" w:lineRule="exact"/>
        <w:ind w:firstLine="640" w:firstLineChars="200"/>
        <w:rPr>
          <w:rFonts w:hint="eastAsia" w:ascii="仿宋_GB2312" w:hAnsi="仿宋_GB2312" w:eastAsia="仿宋_GB2312" w:cs="仿宋_GB2312"/>
          <w:bCs/>
          <w:color w:val="000000"/>
          <w:sz w:val="32"/>
          <w:szCs w:val="32"/>
        </w:rPr>
      </w:pPr>
      <w:r>
        <w:rPr>
          <w:rFonts w:hint="eastAsia" w:ascii="仿宋_GB2312" w:hAnsi="仿宋_GB2312" w:eastAsia="仿宋_GB2312" w:cs="仿宋_GB2312"/>
          <w:bCs/>
          <w:color w:val="000000"/>
          <w:sz w:val="32"/>
          <w:szCs w:val="32"/>
        </w:rPr>
        <w:t>（三）管理维护公园和广场内游憩、服务、公用、健身、文化等设施和景观；</w:t>
      </w:r>
    </w:p>
    <w:p w14:paraId="2285E3F2">
      <w:pPr>
        <w:spacing w:line="576" w:lineRule="exact"/>
        <w:ind w:firstLine="640" w:firstLineChars="200"/>
        <w:rPr>
          <w:rFonts w:hint="eastAsia" w:ascii="仿宋_GB2312" w:hAnsi="仿宋_GB2312" w:eastAsia="仿宋_GB2312" w:cs="仿宋_GB2312"/>
          <w:bCs/>
          <w:color w:val="000000"/>
          <w:sz w:val="32"/>
          <w:szCs w:val="32"/>
        </w:rPr>
      </w:pPr>
      <w:r>
        <w:rPr>
          <w:rFonts w:hint="eastAsia" w:ascii="仿宋_GB2312" w:hAnsi="仿宋_GB2312" w:eastAsia="仿宋_GB2312" w:cs="仿宋_GB2312"/>
          <w:bCs/>
          <w:color w:val="000000"/>
          <w:sz w:val="32"/>
          <w:szCs w:val="32"/>
        </w:rPr>
        <w:t>（四）加强日常巡查，发现有不文明行为时及时劝阻，劝阻无效的，向负有相应监督管理职责的部门报告；</w:t>
      </w:r>
    </w:p>
    <w:p w14:paraId="03C2B68B">
      <w:pPr>
        <w:spacing w:line="576" w:lineRule="exact"/>
        <w:ind w:firstLine="640" w:firstLineChars="200"/>
        <w:rPr>
          <w:rFonts w:hint="eastAsia" w:ascii="仿宋_GB2312" w:hAnsi="仿宋_GB2312" w:eastAsia="仿宋_GB2312" w:cs="仿宋_GB2312"/>
          <w:bCs/>
          <w:color w:val="000000"/>
          <w:sz w:val="32"/>
          <w:szCs w:val="32"/>
        </w:rPr>
      </w:pPr>
      <w:r>
        <w:rPr>
          <w:rFonts w:hint="eastAsia" w:ascii="仿宋_GB2312" w:hAnsi="仿宋_GB2312" w:eastAsia="仿宋_GB2312" w:cs="仿宋_GB2312"/>
          <w:bCs/>
          <w:color w:val="000000"/>
          <w:sz w:val="32"/>
          <w:szCs w:val="32"/>
        </w:rPr>
        <w:t>（五）法律法规规定的其他职责。</w:t>
      </w:r>
    </w:p>
    <w:p w14:paraId="1CDE1E4C">
      <w:pPr>
        <w:spacing w:line="576" w:lineRule="exact"/>
        <w:ind w:firstLine="640" w:firstLineChars="200"/>
        <w:rPr>
          <w:rFonts w:hint="eastAsia" w:ascii="仿宋_GB2312" w:hAnsi="仿宋" w:eastAsia="仿宋_GB2312" w:cs="仿宋"/>
          <w:bCs/>
          <w:color w:val="000000"/>
          <w:sz w:val="32"/>
          <w:szCs w:val="32"/>
        </w:rPr>
      </w:pPr>
      <w:r>
        <w:rPr>
          <w:rFonts w:hint="eastAsia" w:ascii="仿宋" w:hAnsi="仿宋" w:eastAsia="黑体" w:cs="仿宋"/>
          <w:bCs/>
          <w:color w:val="000000"/>
          <w:sz w:val="32"/>
          <w:szCs w:val="32"/>
        </w:rPr>
        <w:t>第十九条　</w:t>
      </w:r>
      <w:r>
        <w:rPr>
          <w:rFonts w:hint="eastAsia" w:ascii="仿宋_GB2312" w:hAnsi="仿宋" w:eastAsia="仿宋_GB2312" w:cs="仿宋"/>
          <w:bCs/>
          <w:color w:val="000000"/>
          <w:sz w:val="32"/>
          <w:szCs w:val="32"/>
        </w:rPr>
        <w:t>公园</w:t>
      </w:r>
      <w:r>
        <w:rPr>
          <w:rFonts w:hint="eastAsia" w:ascii="仿宋_GB2312" w:hAnsi="黑体" w:eastAsia="仿宋_GB2312" w:cs="黑体"/>
          <w:bCs/>
          <w:color w:val="000000"/>
          <w:sz w:val="32"/>
          <w:szCs w:val="32"/>
        </w:rPr>
        <w:t>和</w:t>
      </w:r>
      <w:r>
        <w:rPr>
          <w:rFonts w:hint="eastAsia" w:ascii="仿宋_GB2312" w:hAnsi="仿宋" w:eastAsia="仿宋_GB2312" w:cs="仿宋"/>
          <w:bCs/>
          <w:color w:val="000000"/>
          <w:sz w:val="32"/>
          <w:szCs w:val="32"/>
        </w:rPr>
        <w:t>广场管理机构应当规范服务行为，为游人提供方便、舒适的游园服务：</w:t>
      </w:r>
    </w:p>
    <w:p w14:paraId="54617431">
      <w:pPr>
        <w:spacing w:line="576" w:lineRule="exact"/>
        <w:ind w:firstLine="640" w:firstLineChars="200"/>
        <w:rPr>
          <w:rFonts w:hint="eastAsia" w:ascii="仿宋_GB2312" w:hAnsi="仿宋_GB2312" w:eastAsia="仿宋_GB2312" w:cs="仿宋_GB2312"/>
          <w:bCs/>
          <w:color w:val="000000"/>
          <w:sz w:val="32"/>
          <w:szCs w:val="32"/>
        </w:rPr>
      </w:pPr>
      <w:r>
        <w:rPr>
          <w:rFonts w:hint="eastAsia" w:ascii="仿宋_GB2312" w:hAnsi="仿宋" w:eastAsia="仿宋_GB2312" w:cs="仿宋"/>
          <w:bCs/>
          <w:color w:val="000000"/>
          <w:sz w:val="32"/>
          <w:szCs w:val="32"/>
        </w:rPr>
        <w:t>（一）在主要出入口的显著位置设置游览示意图、简介、游客须知、管理机构名称和监督服务电话，主要路口设置导向</w:t>
      </w:r>
      <w:r>
        <w:rPr>
          <w:rFonts w:hint="eastAsia" w:ascii="仿宋_GB2312" w:hAnsi="仿宋_GB2312" w:eastAsia="仿宋_GB2312" w:cs="仿宋_GB2312"/>
          <w:bCs/>
          <w:color w:val="000000"/>
          <w:sz w:val="32"/>
          <w:szCs w:val="32"/>
        </w:rPr>
        <w:t>标识；</w:t>
      </w:r>
    </w:p>
    <w:p w14:paraId="2F9F8004">
      <w:pPr>
        <w:spacing w:line="576" w:lineRule="exact"/>
        <w:ind w:firstLine="640" w:firstLineChars="200"/>
        <w:rPr>
          <w:rFonts w:hint="eastAsia" w:ascii="仿宋_GB2312" w:hAnsi="仿宋_GB2312" w:eastAsia="仿宋_GB2312" w:cs="仿宋_GB2312"/>
          <w:bCs/>
          <w:color w:val="000000"/>
          <w:sz w:val="32"/>
          <w:szCs w:val="32"/>
        </w:rPr>
      </w:pPr>
      <w:r>
        <w:rPr>
          <w:rFonts w:hint="eastAsia" w:ascii="仿宋_GB2312" w:hAnsi="仿宋_GB2312" w:eastAsia="仿宋_GB2312" w:cs="仿宋_GB2312"/>
          <w:bCs/>
          <w:color w:val="000000"/>
          <w:sz w:val="32"/>
          <w:szCs w:val="32"/>
        </w:rPr>
        <w:t>（二）工作人员经培训上岗，言行举止文明规范，鼓励有条件的公园和广场为游客提供导游讲解服务；</w:t>
      </w:r>
    </w:p>
    <w:p w14:paraId="62F52026">
      <w:pPr>
        <w:spacing w:line="576" w:lineRule="exact"/>
        <w:ind w:firstLine="640" w:firstLineChars="200"/>
        <w:rPr>
          <w:rFonts w:hint="eastAsia" w:ascii="仿宋_GB2312" w:hAnsi="仿宋_GB2312" w:eastAsia="仿宋_GB2312" w:cs="仿宋_GB2312"/>
          <w:bCs/>
          <w:color w:val="000000"/>
          <w:sz w:val="32"/>
          <w:szCs w:val="32"/>
        </w:rPr>
      </w:pPr>
      <w:r>
        <w:rPr>
          <w:rFonts w:hint="eastAsia" w:ascii="仿宋_GB2312" w:hAnsi="仿宋_GB2312" w:eastAsia="仿宋_GB2312" w:cs="仿宋_GB2312"/>
          <w:bCs/>
          <w:color w:val="000000"/>
          <w:sz w:val="32"/>
          <w:szCs w:val="32"/>
        </w:rPr>
        <w:t>（三）设置橱窗、展牌等设施，普及宣传科学知识和社会主义核心价值观；</w:t>
      </w:r>
    </w:p>
    <w:p w14:paraId="05BC6F33">
      <w:pPr>
        <w:spacing w:line="576" w:lineRule="exact"/>
        <w:ind w:firstLine="640" w:firstLineChars="200"/>
        <w:rPr>
          <w:rFonts w:hint="eastAsia" w:ascii="仿宋_GB2312" w:hAnsi="仿宋_GB2312" w:eastAsia="仿宋_GB2312" w:cs="仿宋_GB2312"/>
          <w:bCs/>
          <w:color w:val="000000"/>
          <w:sz w:val="32"/>
          <w:szCs w:val="32"/>
        </w:rPr>
      </w:pPr>
      <w:r>
        <w:rPr>
          <w:rFonts w:hint="eastAsia" w:ascii="仿宋_GB2312" w:hAnsi="仿宋_GB2312" w:eastAsia="仿宋_GB2312" w:cs="仿宋_GB2312"/>
          <w:bCs/>
          <w:color w:val="000000"/>
          <w:sz w:val="32"/>
          <w:szCs w:val="32"/>
        </w:rPr>
        <w:t>（四）为残疾人、老年人、儿童提供方便服务，保持无障碍设施完好，按照规定配备医疗急救设备；</w:t>
      </w:r>
    </w:p>
    <w:p w14:paraId="2319BD73">
      <w:pPr>
        <w:spacing w:line="576" w:lineRule="exact"/>
        <w:ind w:firstLine="640" w:firstLineChars="200"/>
        <w:rPr>
          <w:rFonts w:hint="eastAsia" w:ascii="仿宋_GB2312" w:hAnsi="仿宋_GB2312" w:eastAsia="仿宋_GB2312" w:cs="仿宋_GB2312"/>
          <w:bCs/>
          <w:color w:val="000000"/>
          <w:sz w:val="32"/>
          <w:szCs w:val="32"/>
        </w:rPr>
      </w:pPr>
      <w:r>
        <w:rPr>
          <w:rFonts w:hint="eastAsia" w:ascii="仿宋_GB2312" w:hAnsi="仿宋_GB2312" w:eastAsia="仿宋_GB2312" w:cs="仿宋_GB2312"/>
          <w:bCs/>
          <w:color w:val="000000"/>
          <w:sz w:val="32"/>
          <w:szCs w:val="32"/>
        </w:rPr>
        <w:t>（五）保持公共厕所正常使用和清洁卫生；</w:t>
      </w:r>
    </w:p>
    <w:p w14:paraId="03064EE8">
      <w:pPr>
        <w:spacing w:line="576" w:lineRule="exact"/>
        <w:ind w:firstLine="640" w:firstLineChars="200"/>
        <w:rPr>
          <w:rFonts w:hint="eastAsia" w:ascii="仿宋_GB2312" w:hAnsi="仿宋_GB2312" w:eastAsia="仿宋_GB2312" w:cs="仿宋_GB2312"/>
          <w:bCs/>
          <w:color w:val="000000"/>
          <w:sz w:val="32"/>
          <w:szCs w:val="32"/>
        </w:rPr>
      </w:pPr>
      <w:r>
        <w:rPr>
          <w:rFonts w:hint="eastAsia" w:ascii="仿宋_GB2312" w:hAnsi="仿宋_GB2312" w:eastAsia="仿宋_GB2312" w:cs="仿宋_GB2312"/>
          <w:bCs/>
          <w:color w:val="000000"/>
          <w:sz w:val="32"/>
          <w:szCs w:val="32"/>
        </w:rPr>
        <w:t>（六）法律法规的其他要求。</w:t>
      </w:r>
    </w:p>
    <w:p w14:paraId="58D97FCC">
      <w:pPr>
        <w:spacing w:line="576" w:lineRule="exact"/>
        <w:ind w:firstLine="640" w:firstLineChars="200"/>
        <w:rPr>
          <w:rFonts w:hint="eastAsia" w:ascii="仿宋_GB2312" w:hAnsi="仿宋" w:eastAsia="仿宋_GB2312" w:cs="仿宋"/>
          <w:bCs/>
          <w:color w:val="000000"/>
          <w:sz w:val="32"/>
          <w:szCs w:val="32"/>
        </w:rPr>
      </w:pPr>
      <w:r>
        <w:rPr>
          <w:rFonts w:hint="eastAsia" w:ascii="仿宋" w:hAnsi="仿宋" w:eastAsia="黑体" w:cs="仿宋"/>
          <w:bCs/>
          <w:color w:val="000000"/>
          <w:sz w:val="32"/>
          <w:szCs w:val="32"/>
        </w:rPr>
        <w:t>第二十条　</w:t>
      </w:r>
      <w:r>
        <w:rPr>
          <w:rFonts w:hint="eastAsia" w:ascii="仿宋_GB2312" w:hAnsi="仿宋" w:eastAsia="仿宋_GB2312" w:cs="仿宋"/>
          <w:bCs/>
          <w:color w:val="000000"/>
          <w:sz w:val="32"/>
          <w:szCs w:val="32"/>
        </w:rPr>
        <w:t>公园</w:t>
      </w:r>
      <w:r>
        <w:rPr>
          <w:rFonts w:hint="eastAsia" w:ascii="仿宋_GB2312" w:hAnsi="黑体" w:eastAsia="仿宋_GB2312" w:cs="黑体"/>
          <w:bCs/>
          <w:color w:val="000000"/>
          <w:sz w:val="32"/>
          <w:szCs w:val="32"/>
        </w:rPr>
        <w:t>和</w:t>
      </w:r>
      <w:r>
        <w:rPr>
          <w:rFonts w:hint="eastAsia" w:ascii="仿宋_GB2312" w:hAnsi="仿宋" w:eastAsia="仿宋_GB2312" w:cs="仿宋"/>
          <w:bCs/>
          <w:color w:val="000000"/>
          <w:sz w:val="32"/>
          <w:szCs w:val="32"/>
        </w:rPr>
        <w:t>广场管理机构应当落实安全主体责任，加强安全管理。</w:t>
      </w:r>
    </w:p>
    <w:p w14:paraId="096AABAB">
      <w:pPr>
        <w:spacing w:line="576" w:lineRule="exact"/>
        <w:ind w:firstLine="640" w:firstLineChars="200"/>
        <w:rPr>
          <w:rFonts w:hint="eastAsia" w:ascii="仿宋_GB2312" w:hAnsi="仿宋" w:eastAsia="仿宋_GB2312" w:cs="仿宋"/>
          <w:bCs/>
          <w:color w:val="000000"/>
          <w:sz w:val="32"/>
          <w:szCs w:val="32"/>
        </w:rPr>
      </w:pPr>
      <w:r>
        <w:rPr>
          <w:rFonts w:hint="eastAsia" w:ascii="仿宋_GB2312" w:hAnsi="仿宋" w:eastAsia="仿宋_GB2312" w:cs="仿宋"/>
          <w:bCs/>
          <w:color w:val="000000"/>
          <w:sz w:val="32"/>
          <w:szCs w:val="32"/>
        </w:rPr>
        <w:t>公园</w:t>
      </w:r>
      <w:r>
        <w:rPr>
          <w:rFonts w:hint="eastAsia" w:ascii="仿宋_GB2312" w:hAnsi="黑体" w:eastAsia="仿宋_GB2312" w:cs="黑体"/>
          <w:bCs/>
          <w:color w:val="000000"/>
          <w:sz w:val="32"/>
          <w:szCs w:val="32"/>
        </w:rPr>
        <w:t>和</w:t>
      </w:r>
      <w:r>
        <w:rPr>
          <w:rFonts w:hint="eastAsia" w:ascii="仿宋_GB2312" w:hAnsi="仿宋" w:eastAsia="仿宋_GB2312" w:cs="仿宋"/>
          <w:bCs/>
          <w:color w:val="000000"/>
          <w:sz w:val="32"/>
          <w:szCs w:val="32"/>
        </w:rPr>
        <w:t>广场的安全管理应当符合下列要求：</w:t>
      </w:r>
    </w:p>
    <w:p w14:paraId="19CE85AE">
      <w:pPr>
        <w:spacing w:line="576" w:lineRule="exact"/>
        <w:ind w:firstLine="640" w:firstLineChars="200"/>
        <w:rPr>
          <w:rFonts w:hint="eastAsia" w:ascii="仿宋_GB2312" w:hAnsi="仿宋" w:eastAsia="仿宋_GB2312" w:cs="仿宋"/>
          <w:bCs/>
          <w:color w:val="000000"/>
          <w:sz w:val="32"/>
          <w:szCs w:val="32"/>
        </w:rPr>
      </w:pPr>
      <w:r>
        <w:rPr>
          <w:rFonts w:hint="eastAsia" w:ascii="仿宋_GB2312" w:hAnsi="仿宋" w:eastAsia="仿宋_GB2312" w:cs="仿宋"/>
          <w:bCs/>
          <w:color w:val="000000"/>
          <w:sz w:val="32"/>
          <w:szCs w:val="32"/>
        </w:rPr>
        <w:t>（一）建立健全安全</w:t>
      </w:r>
      <w:r>
        <w:rPr>
          <w:rFonts w:hint="eastAsia" w:ascii="仿宋_GB2312" w:hAnsi="黑体" w:eastAsia="仿宋_GB2312" w:cs="黑体"/>
          <w:bCs/>
          <w:color w:val="000000"/>
          <w:sz w:val="32"/>
          <w:szCs w:val="32"/>
        </w:rPr>
        <w:t>管理</w:t>
      </w:r>
      <w:r>
        <w:rPr>
          <w:rFonts w:hint="eastAsia" w:ascii="仿宋_GB2312" w:hAnsi="仿宋" w:eastAsia="仿宋_GB2312" w:cs="仿宋"/>
          <w:bCs/>
          <w:color w:val="000000"/>
          <w:sz w:val="32"/>
          <w:szCs w:val="32"/>
        </w:rPr>
        <w:t>责任制，</w:t>
      </w:r>
      <w:r>
        <w:rPr>
          <w:rFonts w:hint="eastAsia" w:ascii="仿宋_GB2312" w:hAnsi="黑体" w:eastAsia="仿宋_GB2312" w:cs="黑体"/>
          <w:bCs/>
          <w:color w:val="000000"/>
          <w:sz w:val="32"/>
          <w:szCs w:val="32"/>
        </w:rPr>
        <w:t>设立安全管理员，并</w:t>
      </w:r>
      <w:r>
        <w:rPr>
          <w:rFonts w:hint="eastAsia" w:ascii="仿宋_GB2312" w:hAnsi="仿宋" w:eastAsia="仿宋_GB2312" w:cs="仿宋"/>
          <w:bCs/>
          <w:color w:val="000000"/>
          <w:sz w:val="32"/>
          <w:szCs w:val="32"/>
        </w:rPr>
        <w:t>制定安全</w:t>
      </w:r>
      <w:r>
        <w:rPr>
          <w:rFonts w:hint="eastAsia" w:ascii="仿宋_GB2312" w:hAnsi="黑体" w:eastAsia="仿宋_GB2312" w:cs="黑体"/>
          <w:bCs/>
          <w:color w:val="000000"/>
          <w:sz w:val="32"/>
          <w:szCs w:val="32"/>
        </w:rPr>
        <w:t>管理</w:t>
      </w:r>
      <w:r>
        <w:rPr>
          <w:rFonts w:hint="eastAsia" w:ascii="仿宋_GB2312" w:hAnsi="仿宋" w:eastAsia="仿宋_GB2312" w:cs="仿宋"/>
          <w:bCs/>
          <w:color w:val="000000"/>
          <w:sz w:val="32"/>
          <w:szCs w:val="32"/>
        </w:rPr>
        <w:t>规章制度、工作方案和安全操作规程；</w:t>
      </w:r>
    </w:p>
    <w:p w14:paraId="222BA55A">
      <w:pPr>
        <w:spacing w:line="576" w:lineRule="exact"/>
        <w:ind w:firstLine="640" w:firstLineChars="200"/>
        <w:rPr>
          <w:rFonts w:hint="eastAsia" w:ascii="仿宋_GB2312" w:hAnsi="仿宋" w:eastAsia="仿宋_GB2312" w:cs="仿宋"/>
          <w:bCs/>
          <w:color w:val="000000"/>
          <w:sz w:val="32"/>
          <w:szCs w:val="32"/>
        </w:rPr>
      </w:pPr>
      <w:r>
        <w:rPr>
          <w:rFonts w:hint="eastAsia" w:ascii="仿宋_GB2312" w:hAnsi="仿宋" w:eastAsia="仿宋_GB2312" w:cs="仿宋"/>
          <w:bCs/>
          <w:color w:val="000000"/>
          <w:sz w:val="32"/>
          <w:szCs w:val="32"/>
        </w:rPr>
        <w:t>（二）制定突发事件应急预案，并定期组织演练；发生突发事件时，按照应急预案采取应急措施，并向有关主管部门报告。</w:t>
      </w:r>
    </w:p>
    <w:p w14:paraId="004F1616">
      <w:pPr>
        <w:spacing w:line="576" w:lineRule="exact"/>
        <w:ind w:firstLine="640" w:firstLineChars="200"/>
        <w:rPr>
          <w:rFonts w:hint="eastAsia" w:ascii="仿宋_GB2312" w:hAnsi="仿宋" w:eastAsia="仿宋_GB2312" w:cs="仿宋"/>
          <w:bCs/>
          <w:color w:val="000000"/>
          <w:sz w:val="32"/>
          <w:szCs w:val="32"/>
        </w:rPr>
      </w:pPr>
      <w:r>
        <w:rPr>
          <w:rFonts w:hint="eastAsia" w:ascii="仿宋_GB2312" w:hAnsi="仿宋" w:eastAsia="仿宋_GB2312" w:cs="仿宋"/>
          <w:bCs/>
          <w:color w:val="000000"/>
          <w:sz w:val="32"/>
          <w:szCs w:val="32"/>
        </w:rPr>
        <w:t>（三）游乐设施、各类安全防护设施、救护设施、消防设备设施定期检测、维护和保养；</w:t>
      </w:r>
    </w:p>
    <w:p w14:paraId="289CDBCE">
      <w:pPr>
        <w:spacing w:line="576" w:lineRule="exact"/>
        <w:ind w:firstLine="640" w:firstLineChars="200"/>
        <w:rPr>
          <w:rFonts w:hint="eastAsia" w:ascii="仿宋_GB2312" w:hAnsi="仿宋" w:eastAsia="仿宋_GB2312" w:cs="仿宋"/>
          <w:bCs/>
          <w:color w:val="000000"/>
          <w:sz w:val="32"/>
          <w:szCs w:val="32"/>
        </w:rPr>
      </w:pPr>
      <w:r>
        <w:rPr>
          <w:rFonts w:hint="eastAsia" w:ascii="仿宋_GB2312" w:hAnsi="仿宋" w:eastAsia="仿宋_GB2312" w:cs="仿宋"/>
          <w:bCs/>
          <w:color w:val="000000"/>
          <w:sz w:val="32"/>
          <w:szCs w:val="32"/>
        </w:rPr>
        <w:t>（四）危险区域</w:t>
      </w:r>
      <w:r>
        <w:rPr>
          <w:rFonts w:hint="eastAsia" w:ascii="仿宋_GB2312" w:hAnsi="黑体" w:eastAsia="仿宋_GB2312" w:cs="黑体"/>
          <w:bCs/>
          <w:color w:val="000000"/>
          <w:sz w:val="32"/>
          <w:szCs w:val="32"/>
        </w:rPr>
        <w:t>设置</w:t>
      </w:r>
      <w:r>
        <w:rPr>
          <w:rFonts w:hint="eastAsia" w:ascii="仿宋_GB2312" w:hAnsi="仿宋" w:eastAsia="仿宋_GB2312" w:cs="仿宋"/>
          <w:bCs/>
          <w:color w:val="000000"/>
          <w:sz w:val="32"/>
          <w:szCs w:val="32"/>
        </w:rPr>
        <w:t>安全警示标识和防护措施，健身、游乐等设施</w:t>
      </w:r>
      <w:r>
        <w:rPr>
          <w:rFonts w:hint="eastAsia" w:ascii="仿宋_GB2312" w:hAnsi="黑体" w:eastAsia="仿宋_GB2312" w:cs="黑体"/>
          <w:bCs/>
          <w:color w:val="000000"/>
          <w:sz w:val="32"/>
          <w:szCs w:val="32"/>
        </w:rPr>
        <w:t>设置</w:t>
      </w:r>
      <w:r>
        <w:rPr>
          <w:rFonts w:hint="eastAsia" w:ascii="仿宋_GB2312" w:hAnsi="仿宋" w:eastAsia="仿宋_GB2312" w:cs="仿宋"/>
          <w:bCs/>
          <w:color w:val="000000"/>
          <w:sz w:val="32"/>
          <w:szCs w:val="32"/>
        </w:rPr>
        <w:t>安全警示标识；</w:t>
      </w:r>
    </w:p>
    <w:p w14:paraId="76EF83DD">
      <w:pPr>
        <w:spacing w:line="576" w:lineRule="exact"/>
        <w:ind w:firstLine="640" w:firstLineChars="200"/>
        <w:rPr>
          <w:rFonts w:hint="eastAsia" w:ascii="仿宋_GB2312" w:hAnsi="仿宋" w:eastAsia="仿宋_GB2312" w:cs="仿宋"/>
          <w:bCs/>
          <w:color w:val="000000"/>
          <w:sz w:val="32"/>
          <w:szCs w:val="32"/>
        </w:rPr>
      </w:pPr>
      <w:r>
        <w:rPr>
          <w:rFonts w:hint="eastAsia" w:ascii="仿宋_GB2312" w:hAnsi="仿宋" w:eastAsia="仿宋_GB2312" w:cs="仿宋"/>
          <w:bCs/>
          <w:color w:val="000000"/>
          <w:sz w:val="32"/>
          <w:szCs w:val="32"/>
        </w:rPr>
        <w:t>（五）保障无障碍设施及通道完好、通畅；</w:t>
      </w:r>
    </w:p>
    <w:p w14:paraId="28486DC2">
      <w:pPr>
        <w:spacing w:line="576" w:lineRule="exact"/>
        <w:ind w:firstLine="640" w:firstLineChars="200"/>
        <w:rPr>
          <w:rFonts w:hint="eastAsia" w:ascii="仿宋_GB2312" w:hAnsi="仿宋" w:eastAsia="仿宋_GB2312" w:cs="仿宋"/>
          <w:bCs/>
          <w:color w:val="000000"/>
          <w:sz w:val="32"/>
          <w:szCs w:val="32"/>
        </w:rPr>
      </w:pPr>
      <w:r>
        <w:rPr>
          <w:rFonts w:hint="eastAsia" w:ascii="仿宋_GB2312" w:hAnsi="仿宋" w:eastAsia="仿宋_GB2312" w:cs="仿宋"/>
          <w:bCs/>
          <w:color w:val="000000"/>
          <w:sz w:val="32"/>
          <w:szCs w:val="32"/>
        </w:rPr>
        <w:t>（六）定期养护湖泊堤坝；</w:t>
      </w:r>
    </w:p>
    <w:p w14:paraId="2CD0ABEC">
      <w:pPr>
        <w:spacing w:line="576" w:lineRule="exact"/>
        <w:ind w:firstLine="640" w:firstLineChars="200"/>
        <w:rPr>
          <w:rFonts w:hint="eastAsia" w:ascii="仿宋_GB2312" w:hAnsi="仿宋" w:eastAsia="仿宋_GB2312" w:cs="仿宋"/>
          <w:bCs/>
          <w:color w:val="000000"/>
          <w:sz w:val="32"/>
          <w:szCs w:val="32"/>
        </w:rPr>
      </w:pPr>
      <w:r>
        <w:rPr>
          <w:rFonts w:hint="eastAsia" w:ascii="仿宋_GB2312" w:hAnsi="仿宋" w:eastAsia="仿宋_GB2312" w:cs="仿宋"/>
          <w:bCs/>
          <w:color w:val="000000"/>
          <w:sz w:val="32"/>
          <w:szCs w:val="32"/>
        </w:rPr>
        <w:t>（七）冬季冰雪清理及时，主要道路、广场无残冰积雪；</w:t>
      </w:r>
    </w:p>
    <w:p w14:paraId="71911134">
      <w:pPr>
        <w:spacing w:line="576" w:lineRule="exact"/>
        <w:ind w:firstLine="640" w:firstLineChars="200"/>
        <w:rPr>
          <w:rFonts w:hint="eastAsia" w:ascii="仿宋_GB2312" w:hAnsi="仿宋" w:eastAsia="仿宋_GB2312" w:cs="仿宋"/>
          <w:bCs/>
          <w:color w:val="000000"/>
          <w:sz w:val="32"/>
          <w:szCs w:val="32"/>
        </w:rPr>
      </w:pPr>
      <w:r>
        <w:rPr>
          <w:rFonts w:hint="eastAsia" w:ascii="仿宋_GB2312" w:hAnsi="仿宋" w:eastAsia="仿宋_GB2312" w:cs="仿宋"/>
          <w:bCs/>
          <w:color w:val="000000"/>
          <w:sz w:val="32"/>
          <w:szCs w:val="32"/>
        </w:rPr>
        <w:t>（八）冰上活动场地设置规范，安全防护措施完备；</w:t>
      </w:r>
    </w:p>
    <w:p w14:paraId="693E1601">
      <w:pPr>
        <w:spacing w:line="576" w:lineRule="exact"/>
        <w:ind w:firstLine="640" w:firstLineChars="200"/>
        <w:rPr>
          <w:rFonts w:hint="eastAsia" w:ascii="仿宋_GB2312" w:hAnsi="仿宋" w:eastAsia="仿宋_GB2312" w:cs="仿宋"/>
          <w:bCs/>
          <w:color w:val="000000"/>
          <w:sz w:val="32"/>
          <w:szCs w:val="32"/>
        </w:rPr>
      </w:pPr>
      <w:r>
        <w:rPr>
          <w:rFonts w:hint="eastAsia" w:ascii="仿宋_GB2312" w:hAnsi="仿宋" w:eastAsia="仿宋_GB2312" w:cs="仿宋"/>
          <w:bCs/>
          <w:color w:val="000000"/>
          <w:sz w:val="32"/>
          <w:szCs w:val="32"/>
        </w:rPr>
        <w:t>（九）按照公园</w:t>
      </w:r>
      <w:r>
        <w:rPr>
          <w:rFonts w:hint="eastAsia" w:ascii="仿宋_GB2312" w:hAnsi="黑体" w:eastAsia="仿宋_GB2312" w:cs="黑体"/>
          <w:bCs/>
          <w:color w:val="000000"/>
          <w:sz w:val="32"/>
          <w:szCs w:val="32"/>
        </w:rPr>
        <w:t>和</w:t>
      </w:r>
      <w:r>
        <w:rPr>
          <w:rFonts w:hint="eastAsia" w:ascii="仿宋_GB2312" w:hAnsi="仿宋" w:eastAsia="仿宋_GB2312" w:cs="仿宋"/>
          <w:bCs/>
          <w:color w:val="000000"/>
          <w:sz w:val="32"/>
          <w:szCs w:val="32"/>
        </w:rPr>
        <w:t>广场容量标准控制游人流量</w:t>
      </w:r>
      <w:r>
        <w:rPr>
          <w:rFonts w:hint="eastAsia" w:ascii="仿宋_GB2312" w:hAnsi="黑体" w:eastAsia="仿宋_GB2312" w:cs="黑体"/>
          <w:bCs/>
          <w:color w:val="000000"/>
          <w:sz w:val="32"/>
          <w:szCs w:val="32"/>
        </w:rPr>
        <w:t>，</w:t>
      </w:r>
      <w:r>
        <w:rPr>
          <w:rFonts w:hint="eastAsia" w:ascii="仿宋_GB2312" w:hAnsi="仿宋" w:eastAsia="仿宋_GB2312" w:cs="仿宋"/>
          <w:bCs/>
          <w:color w:val="000000"/>
          <w:sz w:val="32"/>
          <w:szCs w:val="32"/>
        </w:rPr>
        <w:t>公园</w:t>
      </w:r>
      <w:r>
        <w:rPr>
          <w:rFonts w:hint="eastAsia" w:ascii="仿宋_GB2312" w:hAnsi="黑体" w:eastAsia="仿宋_GB2312" w:cs="黑体"/>
          <w:bCs/>
          <w:color w:val="000000"/>
          <w:sz w:val="32"/>
          <w:szCs w:val="32"/>
        </w:rPr>
        <w:t>和</w:t>
      </w:r>
      <w:r>
        <w:rPr>
          <w:rFonts w:hint="eastAsia" w:ascii="仿宋_GB2312" w:hAnsi="仿宋" w:eastAsia="仿宋_GB2312" w:cs="仿宋"/>
          <w:bCs/>
          <w:color w:val="000000"/>
          <w:sz w:val="32"/>
          <w:szCs w:val="32"/>
        </w:rPr>
        <w:t>广场周边具备与其游人流量相适应的交通集散条件；</w:t>
      </w:r>
    </w:p>
    <w:p w14:paraId="2C2D85EE">
      <w:pPr>
        <w:spacing w:line="576" w:lineRule="exact"/>
        <w:ind w:firstLine="640" w:firstLineChars="200"/>
        <w:rPr>
          <w:rFonts w:hint="eastAsia" w:ascii="仿宋_GB2312" w:hAnsi="仿宋" w:eastAsia="仿宋_GB2312" w:cs="仿宋"/>
          <w:bCs/>
          <w:color w:val="000000"/>
          <w:sz w:val="32"/>
          <w:szCs w:val="32"/>
        </w:rPr>
      </w:pPr>
      <w:r>
        <w:rPr>
          <w:rFonts w:hint="eastAsia" w:ascii="仿宋_GB2312" w:hAnsi="仿宋" w:eastAsia="仿宋_GB2312" w:cs="仿宋"/>
          <w:bCs/>
          <w:color w:val="000000"/>
          <w:sz w:val="32"/>
          <w:szCs w:val="32"/>
        </w:rPr>
        <w:t>（十）科学合理设置视频监控和照明、广播设施；</w:t>
      </w:r>
    </w:p>
    <w:p w14:paraId="0342C31F">
      <w:pPr>
        <w:spacing w:line="576" w:lineRule="exact"/>
        <w:ind w:firstLine="640" w:firstLineChars="200"/>
        <w:rPr>
          <w:rFonts w:hint="eastAsia" w:ascii="仿宋_GB2312" w:hAnsi="仿宋" w:eastAsia="仿宋_GB2312" w:cs="仿宋"/>
          <w:bCs/>
          <w:color w:val="000000"/>
          <w:sz w:val="32"/>
          <w:szCs w:val="32"/>
        </w:rPr>
      </w:pPr>
      <w:r>
        <w:rPr>
          <w:rFonts w:hint="eastAsia" w:ascii="仿宋_GB2312" w:hAnsi="仿宋" w:eastAsia="仿宋_GB2312" w:cs="仿宋"/>
          <w:bCs/>
          <w:color w:val="000000"/>
          <w:sz w:val="32"/>
          <w:szCs w:val="32"/>
        </w:rPr>
        <w:t>（十一）法律法规规定的其他安全管理要求。</w:t>
      </w:r>
    </w:p>
    <w:p w14:paraId="02FD6A60">
      <w:pPr>
        <w:spacing w:line="576" w:lineRule="exact"/>
        <w:ind w:firstLine="640" w:firstLineChars="200"/>
        <w:rPr>
          <w:rFonts w:hint="eastAsia" w:ascii="仿宋_GB2312" w:hAnsi="仿宋" w:eastAsia="仿宋_GB2312" w:cs="仿宋"/>
          <w:bCs/>
          <w:color w:val="000000"/>
          <w:sz w:val="32"/>
          <w:szCs w:val="32"/>
        </w:rPr>
      </w:pPr>
      <w:r>
        <w:rPr>
          <w:rFonts w:hint="eastAsia" w:ascii="仿宋" w:hAnsi="仿宋" w:eastAsia="黑体" w:cs="仿宋"/>
          <w:bCs/>
          <w:color w:val="000000"/>
          <w:sz w:val="32"/>
          <w:szCs w:val="32"/>
        </w:rPr>
        <w:t>第二十一条　</w:t>
      </w:r>
      <w:r>
        <w:rPr>
          <w:rFonts w:hint="eastAsia" w:ascii="仿宋_GB2312" w:hAnsi="仿宋" w:eastAsia="仿宋_GB2312" w:cs="仿宋"/>
          <w:bCs/>
          <w:color w:val="000000"/>
          <w:sz w:val="32"/>
          <w:szCs w:val="32"/>
        </w:rPr>
        <w:t>公园</w:t>
      </w:r>
      <w:r>
        <w:rPr>
          <w:rFonts w:hint="eastAsia" w:ascii="仿宋_GB2312" w:hAnsi="黑体" w:eastAsia="仿宋_GB2312" w:cs="黑体"/>
          <w:bCs/>
          <w:color w:val="000000"/>
          <w:sz w:val="32"/>
          <w:szCs w:val="32"/>
        </w:rPr>
        <w:t>和</w:t>
      </w:r>
      <w:r>
        <w:rPr>
          <w:rFonts w:hint="eastAsia" w:ascii="仿宋_GB2312" w:hAnsi="仿宋" w:eastAsia="仿宋_GB2312" w:cs="仿宋"/>
          <w:bCs/>
          <w:color w:val="000000"/>
          <w:sz w:val="32"/>
          <w:szCs w:val="32"/>
        </w:rPr>
        <w:t>广场的环境卫生、景观管理应当符合下列要求：</w:t>
      </w:r>
    </w:p>
    <w:p w14:paraId="0AF133B3">
      <w:pPr>
        <w:spacing w:line="576" w:lineRule="exact"/>
        <w:ind w:firstLine="640" w:firstLineChars="200"/>
        <w:rPr>
          <w:rFonts w:hint="eastAsia" w:ascii="仿宋_GB2312" w:hAnsi="仿宋" w:eastAsia="仿宋_GB2312" w:cs="仿宋"/>
          <w:bCs/>
          <w:color w:val="000000"/>
          <w:sz w:val="32"/>
          <w:szCs w:val="32"/>
        </w:rPr>
      </w:pPr>
      <w:r>
        <w:rPr>
          <w:rFonts w:hint="eastAsia" w:ascii="仿宋_GB2312" w:hAnsi="仿宋" w:eastAsia="仿宋_GB2312" w:cs="仿宋"/>
          <w:bCs/>
          <w:color w:val="000000"/>
          <w:sz w:val="32"/>
          <w:szCs w:val="32"/>
        </w:rPr>
        <w:t>（一）环境卫生整洁，符合国家卫生城市标准，植被品种适生、形态美观、养护精细；</w:t>
      </w:r>
    </w:p>
    <w:p w14:paraId="521913CE">
      <w:pPr>
        <w:spacing w:line="576" w:lineRule="exact"/>
        <w:ind w:firstLine="640" w:firstLineChars="200"/>
        <w:rPr>
          <w:rFonts w:hint="eastAsia" w:ascii="仿宋_GB2312" w:hAnsi="仿宋" w:eastAsia="仿宋_GB2312" w:cs="仿宋"/>
          <w:bCs/>
          <w:color w:val="000000"/>
          <w:sz w:val="32"/>
          <w:szCs w:val="32"/>
        </w:rPr>
      </w:pPr>
      <w:r>
        <w:rPr>
          <w:rFonts w:hint="eastAsia" w:ascii="仿宋_GB2312" w:hAnsi="仿宋" w:eastAsia="仿宋_GB2312" w:cs="仿宋"/>
          <w:bCs/>
          <w:color w:val="000000"/>
          <w:sz w:val="32"/>
          <w:szCs w:val="32"/>
        </w:rPr>
        <w:t>（二）建（构）筑物以及公园</w:t>
      </w:r>
      <w:r>
        <w:rPr>
          <w:rFonts w:hint="eastAsia" w:ascii="仿宋_GB2312" w:hAnsi="黑体" w:eastAsia="仿宋_GB2312" w:cs="黑体"/>
          <w:bCs/>
          <w:color w:val="000000"/>
          <w:sz w:val="32"/>
          <w:szCs w:val="32"/>
        </w:rPr>
        <w:t>和</w:t>
      </w:r>
      <w:r>
        <w:rPr>
          <w:rFonts w:hint="eastAsia" w:ascii="仿宋_GB2312" w:hAnsi="仿宋" w:eastAsia="仿宋_GB2312" w:cs="仿宋"/>
          <w:bCs/>
          <w:color w:val="000000"/>
          <w:sz w:val="32"/>
          <w:szCs w:val="32"/>
        </w:rPr>
        <w:t>广场内各类设施、标识标牌外观完好，符合技术规范，损毁、缺失的设施得到及时更换或者修复；</w:t>
      </w:r>
    </w:p>
    <w:p w14:paraId="5795D207">
      <w:pPr>
        <w:spacing w:line="576" w:lineRule="exact"/>
        <w:ind w:firstLine="640" w:firstLineChars="200"/>
        <w:rPr>
          <w:rFonts w:hint="eastAsia" w:ascii="仿宋_GB2312" w:hAnsi="仿宋" w:eastAsia="仿宋_GB2312" w:cs="仿宋"/>
          <w:bCs/>
          <w:color w:val="000000"/>
          <w:sz w:val="32"/>
          <w:szCs w:val="32"/>
        </w:rPr>
      </w:pPr>
      <w:r>
        <w:rPr>
          <w:rFonts w:hint="eastAsia" w:ascii="仿宋_GB2312" w:hAnsi="仿宋" w:eastAsia="仿宋_GB2312" w:cs="仿宋"/>
          <w:bCs/>
          <w:color w:val="000000"/>
          <w:sz w:val="32"/>
          <w:szCs w:val="32"/>
        </w:rPr>
        <w:t>（三）湖泊、水池等景观水体水面整洁，水质符合国家有关景观水域的地表水环境质量标准；</w:t>
      </w:r>
    </w:p>
    <w:p w14:paraId="40F58CE5">
      <w:pPr>
        <w:spacing w:line="576" w:lineRule="exact"/>
        <w:ind w:firstLine="640" w:firstLineChars="200"/>
        <w:rPr>
          <w:rFonts w:hint="eastAsia" w:ascii="仿宋_GB2312" w:hAnsi="仿宋" w:eastAsia="仿宋_GB2312" w:cs="仿宋"/>
          <w:bCs/>
          <w:color w:val="000000"/>
          <w:sz w:val="32"/>
          <w:szCs w:val="32"/>
        </w:rPr>
      </w:pPr>
      <w:r>
        <w:rPr>
          <w:rFonts w:hint="eastAsia" w:ascii="仿宋_GB2312" w:hAnsi="黑体" w:eastAsia="仿宋_GB2312" w:cs="黑体"/>
          <w:bCs/>
          <w:color w:val="000000"/>
          <w:sz w:val="32"/>
          <w:szCs w:val="32"/>
        </w:rPr>
        <w:t>（四）</w:t>
      </w:r>
      <w:r>
        <w:rPr>
          <w:rFonts w:hint="eastAsia" w:ascii="仿宋_GB2312" w:hAnsi="仿宋" w:eastAsia="仿宋_GB2312" w:cs="仿宋"/>
          <w:bCs/>
          <w:color w:val="000000"/>
          <w:sz w:val="32"/>
          <w:szCs w:val="32"/>
        </w:rPr>
        <w:t>加强对园内观赏动物的饲养、保护，依法做好动物的引进、交换、调配工作；</w:t>
      </w:r>
    </w:p>
    <w:p w14:paraId="3479766D">
      <w:pPr>
        <w:spacing w:line="576" w:lineRule="exact"/>
        <w:ind w:firstLine="640" w:firstLineChars="200"/>
        <w:rPr>
          <w:rFonts w:hint="eastAsia" w:ascii="仿宋_GB2312" w:hAnsi="黑体" w:eastAsia="仿宋_GB2312" w:cs="黑体"/>
          <w:bCs/>
          <w:color w:val="000000"/>
          <w:sz w:val="32"/>
          <w:szCs w:val="32"/>
        </w:rPr>
      </w:pPr>
      <w:r>
        <w:rPr>
          <w:rFonts w:hint="eastAsia" w:ascii="仿宋_GB2312" w:hAnsi="黑体" w:eastAsia="仿宋_GB2312" w:cs="黑体"/>
          <w:bCs/>
          <w:color w:val="000000"/>
          <w:sz w:val="32"/>
          <w:szCs w:val="32"/>
        </w:rPr>
        <w:t>（五）做好</w:t>
      </w:r>
      <w:r>
        <w:rPr>
          <w:rFonts w:hint="eastAsia" w:ascii="仿宋_GB2312" w:hAnsi="仿宋" w:eastAsia="仿宋_GB2312" w:cs="仿宋"/>
          <w:bCs/>
          <w:color w:val="000000"/>
          <w:sz w:val="32"/>
          <w:szCs w:val="32"/>
        </w:rPr>
        <w:t>蚊、蝇、鼠、蟑螂等有害生物防治工作</w:t>
      </w:r>
      <w:r>
        <w:rPr>
          <w:rFonts w:hint="eastAsia" w:ascii="仿宋_GB2312" w:hAnsi="黑体" w:eastAsia="仿宋_GB2312" w:cs="黑体"/>
          <w:bCs/>
          <w:color w:val="000000"/>
          <w:sz w:val="32"/>
          <w:szCs w:val="32"/>
        </w:rPr>
        <w:t>。</w:t>
      </w:r>
    </w:p>
    <w:p w14:paraId="525E13C7">
      <w:pPr>
        <w:spacing w:line="576" w:lineRule="exact"/>
        <w:ind w:firstLine="640" w:firstLineChars="200"/>
        <w:rPr>
          <w:rFonts w:hint="eastAsia" w:ascii="楷体" w:hAnsi="楷体" w:eastAsia="楷体" w:cs="楷体"/>
          <w:bCs/>
          <w:color w:val="000000"/>
          <w:sz w:val="32"/>
          <w:szCs w:val="32"/>
        </w:rPr>
      </w:pPr>
      <w:r>
        <w:rPr>
          <w:rFonts w:eastAsia="黑体"/>
          <w:bCs/>
          <w:color w:val="000000"/>
          <w:sz w:val="32"/>
          <w:szCs w:val="32"/>
        </w:rPr>
        <w:t>第二十</w:t>
      </w:r>
      <w:r>
        <w:rPr>
          <w:rFonts w:hint="eastAsia" w:eastAsia="黑体"/>
          <w:bCs/>
          <w:color w:val="000000"/>
          <w:sz w:val="32"/>
          <w:szCs w:val="32"/>
        </w:rPr>
        <w:t>二</w:t>
      </w:r>
      <w:r>
        <w:rPr>
          <w:rFonts w:eastAsia="黑体"/>
          <w:bCs/>
          <w:color w:val="000000"/>
          <w:sz w:val="32"/>
          <w:szCs w:val="32"/>
        </w:rPr>
        <w:t>条　</w:t>
      </w:r>
      <w:r>
        <w:rPr>
          <w:rFonts w:hint="eastAsia" w:ascii="仿宋_GB2312" w:hAnsi="黑体" w:eastAsia="仿宋_GB2312" w:cs="黑体"/>
          <w:bCs/>
          <w:color w:val="000000"/>
          <w:sz w:val="32"/>
          <w:szCs w:val="32"/>
        </w:rPr>
        <w:t>公园和广场管理机构应当加强对公园和广场内古树名木、雕塑作品和文物古迹的保护。</w:t>
      </w:r>
    </w:p>
    <w:p w14:paraId="546AC12A">
      <w:pPr>
        <w:spacing w:line="576" w:lineRule="exact"/>
        <w:ind w:firstLine="640" w:firstLineChars="200"/>
        <w:rPr>
          <w:rFonts w:hint="eastAsia" w:ascii="仿宋_GB2312" w:hAnsi="仿宋" w:eastAsia="仿宋_GB2312" w:cs="仿宋"/>
          <w:bCs/>
          <w:color w:val="000000"/>
          <w:sz w:val="32"/>
          <w:szCs w:val="32"/>
        </w:rPr>
      </w:pPr>
      <w:r>
        <w:rPr>
          <w:rFonts w:hint="eastAsia" w:ascii="仿宋" w:hAnsi="仿宋" w:eastAsia="黑体" w:cs="仿宋"/>
          <w:bCs/>
          <w:color w:val="000000"/>
          <w:sz w:val="32"/>
          <w:szCs w:val="32"/>
        </w:rPr>
        <w:t>第二十三条　</w:t>
      </w:r>
      <w:r>
        <w:rPr>
          <w:rFonts w:hint="eastAsia" w:ascii="仿宋_GB2312" w:hAnsi="仿宋" w:eastAsia="仿宋_GB2312" w:cs="仿宋"/>
          <w:bCs/>
          <w:color w:val="000000"/>
          <w:sz w:val="32"/>
          <w:szCs w:val="32"/>
        </w:rPr>
        <w:t>公园</w:t>
      </w:r>
      <w:r>
        <w:rPr>
          <w:rFonts w:hint="eastAsia" w:ascii="仿宋_GB2312" w:hAnsi="黑体" w:eastAsia="仿宋_GB2312" w:cs="黑体"/>
          <w:bCs/>
          <w:color w:val="000000"/>
          <w:sz w:val="32"/>
          <w:szCs w:val="32"/>
        </w:rPr>
        <w:t>和</w:t>
      </w:r>
      <w:r>
        <w:rPr>
          <w:rFonts w:hint="eastAsia" w:ascii="仿宋_GB2312" w:hAnsi="仿宋" w:eastAsia="仿宋_GB2312" w:cs="仿宋"/>
          <w:bCs/>
          <w:color w:val="000000"/>
          <w:sz w:val="32"/>
          <w:szCs w:val="32"/>
        </w:rPr>
        <w:t>广场管理机构</w:t>
      </w:r>
      <w:r>
        <w:rPr>
          <w:rFonts w:hint="eastAsia" w:ascii="仿宋_GB2312" w:hAnsi="黑体" w:eastAsia="仿宋_GB2312" w:cs="黑体"/>
          <w:bCs/>
          <w:color w:val="000000"/>
          <w:sz w:val="32"/>
          <w:szCs w:val="32"/>
        </w:rPr>
        <w:t>应当</w:t>
      </w:r>
      <w:r>
        <w:rPr>
          <w:rFonts w:hint="eastAsia" w:ascii="仿宋_GB2312" w:hAnsi="仿宋" w:eastAsia="仿宋_GB2312" w:cs="仿宋"/>
          <w:bCs/>
          <w:color w:val="000000"/>
          <w:sz w:val="32"/>
          <w:szCs w:val="32"/>
        </w:rPr>
        <w:t>合理规定娱乐、健身、直播等活动的区域、时间、音量，</w:t>
      </w:r>
      <w:r>
        <w:rPr>
          <w:rFonts w:hint="eastAsia" w:ascii="仿宋_GB2312" w:hAnsi="黑体" w:eastAsia="仿宋_GB2312" w:cs="黑体"/>
          <w:bCs/>
          <w:color w:val="000000"/>
          <w:sz w:val="32"/>
          <w:szCs w:val="32"/>
        </w:rPr>
        <w:t>并向社会公告。</w:t>
      </w:r>
      <w:r>
        <w:rPr>
          <w:rFonts w:hint="eastAsia" w:ascii="仿宋_GB2312" w:hAnsi="仿宋" w:eastAsia="仿宋_GB2312" w:cs="仿宋"/>
          <w:bCs/>
          <w:color w:val="000000"/>
          <w:sz w:val="32"/>
          <w:szCs w:val="32"/>
        </w:rPr>
        <w:t>可以采取设置噪声自动监测和显示设施等措施加强管理。</w:t>
      </w:r>
    </w:p>
    <w:p w14:paraId="3476C7D8">
      <w:pPr>
        <w:spacing w:line="576" w:lineRule="exact"/>
        <w:ind w:firstLine="640" w:firstLineChars="200"/>
        <w:rPr>
          <w:rFonts w:hint="eastAsia" w:ascii="仿宋_GB2312" w:hAnsi="仿宋_GB2312" w:eastAsia="仿宋_GB2312" w:cs="仿宋_GB2312"/>
          <w:bCs/>
          <w:color w:val="000000"/>
          <w:sz w:val="32"/>
          <w:szCs w:val="32"/>
        </w:rPr>
      </w:pPr>
      <w:r>
        <w:rPr>
          <w:rFonts w:hint="eastAsia" w:ascii="仿宋_GB2312" w:hAnsi="仿宋" w:eastAsia="仿宋_GB2312" w:cs="仿宋"/>
          <w:bCs/>
          <w:color w:val="000000"/>
          <w:sz w:val="32"/>
          <w:szCs w:val="32"/>
        </w:rPr>
        <w:t>在公园</w:t>
      </w:r>
      <w:r>
        <w:rPr>
          <w:rFonts w:hint="eastAsia" w:ascii="仿宋_GB2312" w:hAnsi="仿宋_GB2312" w:eastAsia="仿宋_GB2312" w:cs="仿宋_GB2312"/>
          <w:bCs/>
          <w:color w:val="000000"/>
          <w:sz w:val="32"/>
          <w:szCs w:val="32"/>
        </w:rPr>
        <w:t>和广场内组织或者开展健身、娱乐、直播等活动，应当在规定的时段和区域内进行，遵守噪声及安全规定，采取有效措施防止噪声污染，不得影响公共交通、消防及居民生活。</w:t>
      </w:r>
    </w:p>
    <w:p w14:paraId="346BC8EC">
      <w:pPr>
        <w:spacing w:line="576" w:lineRule="exact"/>
        <w:ind w:firstLine="640" w:firstLineChars="200"/>
        <w:rPr>
          <w:rFonts w:hint="eastAsia" w:ascii="仿宋_GB2312" w:hAnsi="仿宋" w:eastAsia="仿宋_GB2312" w:cs="仿宋"/>
          <w:bCs/>
          <w:color w:val="000000"/>
          <w:sz w:val="32"/>
          <w:szCs w:val="32"/>
        </w:rPr>
      </w:pPr>
      <w:r>
        <w:rPr>
          <w:rFonts w:hint="eastAsia" w:ascii="仿宋" w:hAnsi="仿宋" w:eastAsia="黑体" w:cs="仿宋"/>
          <w:bCs/>
          <w:color w:val="000000"/>
          <w:sz w:val="32"/>
          <w:szCs w:val="32"/>
        </w:rPr>
        <w:t>第二十四条　</w:t>
      </w:r>
      <w:r>
        <w:rPr>
          <w:rFonts w:hint="eastAsia" w:ascii="仿宋_GB2312" w:hAnsi="仿宋" w:eastAsia="仿宋_GB2312" w:cs="仿宋"/>
          <w:bCs/>
          <w:color w:val="000000"/>
          <w:sz w:val="32"/>
          <w:szCs w:val="32"/>
        </w:rPr>
        <w:t>在公园</w:t>
      </w:r>
      <w:r>
        <w:rPr>
          <w:rFonts w:hint="eastAsia" w:ascii="仿宋_GB2312" w:hAnsi="黑体" w:eastAsia="仿宋_GB2312" w:cs="黑体"/>
          <w:bCs/>
          <w:color w:val="000000"/>
          <w:sz w:val="32"/>
          <w:szCs w:val="32"/>
        </w:rPr>
        <w:t>和</w:t>
      </w:r>
      <w:r>
        <w:rPr>
          <w:rFonts w:hint="eastAsia" w:ascii="仿宋_GB2312" w:hAnsi="仿宋" w:eastAsia="仿宋_GB2312" w:cs="仿宋"/>
          <w:bCs/>
          <w:color w:val="000000"/>
          <w:sz w:val="32"/>
          <w:szCs w:val="32"/>
        </w:rPr>
        <w:t>广场内从事商业经营活动的，应当遵守下列规定：</w:t>
      </w:r>
    </w:p>
    <w:p w14:paraId="54CCE80E">
      <w:pPr>
        <w:spacing w:line="576" w:lineRule="exact"/>
        <w:ind w:firstLine="640" w:firstLineChars="200"/>
        <w:rPr>
          <w:rFonts w:hint="eastAsia" w:ascii="仿宋_GB2312" w:hAnsi="仿宋" w:eastAsia="仿宋_GB2312" w:cs="仿宋"/>
          <w:bCs/>
          <w:color w:val="000000"/>
          <w:sz w:val="32"/>
          <w:szCs w:val="32"/>
        </w:rPr>
      </w:pPr>
      <w:r>
        <w:rPr>
          <w:rFonts w:hint="eastAsia" w:ascii="仿宋_GB2312" w:hAnsi="仿宋" w:eastAsia="仿宋_GB2312" w:cs="仿宋"/>
          <w:bCs/>
          <w:color w:val="000000"/>
          <w:sz w:val="32"/>
          <w:szCs w:val="32"/>
        </w:rPr>
        <w:t>（一）从业服务人员佩戴服务标识，遵守服务规范，文明经商，礼貌待客；</w:t>
      </w:r>
    </w:p>
    <w:p w14:paraId="4662A2D1">
      <w:pPr>
        <w:spacing w:line="576" w:lineRule="exact"/>
        <w:ind w:firstLine="640" w:firstLineChars="200"/>
        <w:rPr>
          <w:rFonts w:hint="eastAsia" w:ascii="仿宋_GB2312" w:hAnsi="仿宋" w:eastAsia="仿宋_GB2312" w:cs="仿宋"/>
          <w:bCs/>
          <w:color w:val="000000"/>
          <w:sz w:val="32"/>
          <w:szCs w:val="32"/>
        </w:rPr>
      </w:pPr>
      <w:r>
        <w:rPr>
          <w:rFonts w:hint="eastAsia" w:ascii="仿宋_GB2312" w:hAnsi="仿宋" w:eastAsia="仿宋_GB2312" w:cs="仿宋"/>
          <w:bCs/>
          <w:color w:val="000000"/>
          <w:sz w:val="32"/>
          <w:szCs w:val="32"/>
        </w:rPr>
        <w:t>（二）不得流动叫卖商品；</w:t>
      </w:r>
    </w:p>
    <w:p w14:paraId="66B90018">
      <w:pPr>
        <w:spacing w:line="576" w:lineRule="exact"/>
        <w:ind w:firstLine="640" w:firstLineChars="200"/>
        <w:rPr>
          <w:rFonts w:hint="eastAsia" w:ascii="仿宋_GB2312" w:hAnsi="仿宋" w:eastAsia="仿宋_GB2312" w:cs="仿宋"/>
          <w:bCs/>
          <w:color w:val="000000"/>
          <w:sz w:val="32"/>
          <w:szCs w:val="32"/>
        </w:rPr>
      </w:pPr>
      <w:r>
        <w:rPr>
          <w:rFonts w:hint="eastAsia" w:ascii="仿宋_GB2312" w:hAnsi="仿宋" w:eastAsia="仿宋_GB2312" w:cs="仿宋"/>
          <w:bCs/>
          <w:color w:val="000000"/>
          <w:sz w:val="32"/>
          <w:szCs w:val="32"/>
        </w:rPr>
        <w:t>（三）不得擅自扩大经营面积，搭建经营设施；</w:t>
      </w:r>
    </w:p>
    <w:p w14:paraId="06D9EB2C">
      <w:pPr>
        <w:spacing w:line="576" w:lineRule="exact"/>
        <w:ind w:firstLine="640" w:firstLineChars="200"/>
        <w:rPr>
          <w:rFonts w:hint="eastAsia" w:ascii="仿宋_GB2312" w:hAnsi="仿宋" w:eastAsia="仿宋_GB2312" w:cs="仿宋"/>
          <w:bCs/>
          <w:color w:val="000000"/>
          <w:sz w:val="32"/>
          <w:szCs w:val="32"/>
        </w:rPr>
      </w:pPr>
      <w:r>
        <w:rPr>
          <w:rFonts w:hint="eastAsia" w:ascii="仿宋_GB2312" w:hAnsi="仿宋" w:eastAsia="仿宋_GB2312" w:cs="仿宋"/>
          <w:bCs/>
          <w:color w:val="000000"/>
          <w:sz w:val="32"/>
          <w:szCs w:val="32"/>
        </w:rPr>
        <w:t>（四）商品的陈列、宣传不得影响景观和周围环境。</w:t>
      </w:r>
    </w:p>
    <w:p w14:paraId="25909AB4">
      <w:pPr>
        <w:spacing w:line="576" w:lineRule="exact"/>
        <w:ind w:firstLine="640" w:firstLineChars="200"/>
        <w:rPr>
          <w:rFonts w:hint="eastAsia" w:ascii="仿宋_GB2312" w:hAnsi="仿宋_GB2312" w:eastAsia="仿宋_GB2312" w:cs="仿宋_GB2312"/>
          <w:bCs/>
          <w:color w:val="000000"/>
          <w:sz w:val="32"/>
          <w:szCs w:val="32"/>
        </w:rPr>
      </w:pPr>
      <w:r>
        <w:rPr>
          <w:rFonts w:hint="eastAsia" w:ascii="仿宋" w:hAnsi="仿宋" w:eastAsia="黑体" w:cs="仿宋"/>
          <w:bCs/>
          <w:color w:val="000000"/>
          <w:sz w:val="32"/>
          <w:szCs w:val="32"/>
        </w:rPr>
        <w:t>第二十五条</w:t>
      </w:r>
      <w:r>
        <w:rPr>
          <w:rFonts w:hint="eastAsia" w:ascii="仿宋" w:hAnsi="仿宋" w:eastAsia="仿宋_GB2312" w:cs="仿宋"/>
          <w:bCs/>
          <w:color w:val="000000"/>
          <w:sz w:val="32"/>
          <w:szCs w:val="32"/>
        </w:rPr>
        <w:t>　</w:t>
      </w:r>
      <w:r>
        <w:rPr>
          <w:rFonts w:hint="eastAsia" w:ascii="仿宋_GB2312" w:hAnsi="仿宋" w:eastAsia="仿宋_GB2312" w:cs="仿宋"/>
          <w:bCs/>
          <w:color w:val="000000"/>
          <w:sz w:val="32"/>
          <w:szCs w:val="32"/>
        </w:rPr>
        <w:t>严格</w:t>
      </w:r>
      <w:r>
        <w:rPr>
          <w:rFonts w:hint="eastAsia" w:ascii="仿宋_GB2312" w:hAnsi="仿宋_GB2312" w:eastAsia="仿宋_GB2312" w:cs="仿宋_GB2312"/>
          <w:bCs/>
          <w:color w:val="000000"/>
          <w:sz w:val="32"/>
          <w:szCs w:val="32"/>
        </w:rPr>
        <w:t>控制在公园和广场内举办展览、演出等大型活动。利用公园和广场场地、设施临时举办展览、宣传、演出、影视剧拍摄、商业摄影、公益活动等大型活动的，应当符合安全管理规定。举办单位应当制定活动方案和应急预案，征得管理机构同意，并与管理机构签订协议。管理机构应当按规定建档留存，并在公园和广场内显著位置公告活动的性质、时间和地点。</w:t>
      </w:r>
    </w:p>
    <w:p w14:paraId="242C22B7">
      <w:pPr>
        <w:spacing w:line="576" w:lineRule="exact"/>
        <w:ind w:firstLine="640" w:firstLineChars="200"/>
        <w:rPr>
          <w:rFonts w:hint="eastAsia" w:ascii="仿宋_GB2312" w:hAnsi="仿宋_GB2312" w:eastAsia="仿宋_GB2312" w:cs="仿宋_GB2312"/>
          <w:bCs/>
          <w:color w:val="000000"/>
          <w:sz w:val="32"/>
          <w:szCs w:val="32"/>
        </w:rPr>
      </w:pPr>
      <w:r>
        <w:rPr>
          <w:rFonts w:hint="eastAsia" w:ascii="仿宋" w:hAnsi="仿宋" w:eastAsia="黑体" w:cs="仿宋"/>
          <w:bCs/>
          <w:color w:val="000000"/>
          <w:sz w:val="32"/>
          <w:szCs w:val="32"/>
        </w:rPr>
        <w:t>第二十六条　</w:t>
      </w:r>
      <w:r>
        <w:rPr>
          <w:rFonts w:hint="eastAsia" w:ascii="仿宋_GB2312" w:hAnsi="仿宋" w:eastAsia="仿宋_GB2312" w:cs="仿宋"/>
          <w:bCs/>
          <w:color w:val="000000"/>
          <w:sz w:val="32"/>
          <w:szCs w:val="32"/>
        </w:rPr>
        <w:t>禁</w:t>
      </w:r>
      <w:r>
        <w:rPr>
          <w:rFonts w:hint="eastAsia" w:ascii="仿宋_GB2312" w:hAnsi="仿宋_GB2312" w:eastAsia="仿宋_GB2312" w:cs="仿宋_GB2312"/>
          <w:bCs/>
          <w:color w:val="000000"/>
          <w:sz w:val="32"/>
          <w:szCs w:val="32"/>
        </w:rPr>
        <w:t>止将公园和广场中的亭、台、楼、阁等园林建筑改建为商业设施或者以租赁、承包、转让、出借、抵押、买断、合资、合作等形式转交营利性组织或者个人经营。禁止将公园和广场管理用房改作经营性用房或者出租、出借给他人使用。</w:t>
      </w:r>
    </w:p>
    <w:p w14:paraId="6388F9D8">
      <w:pPr>
        <w:spacing w:line="576" w:lineRule="exact"/>
        <w:ind w:firstLine="640" w:firstLineChars="200"/>
        <w:rPr>
          <w:rFonts w:hint="eastAsia" w:ascii="仿宋_GB2312" w:hAnsi="仿宋_GB2312" w:eastAsia="仿宋_GB2312" w:cs="仿宋_GB2312"/>
          <w:bCs/>
          <w:color w:val="000000"/>
          <w:sz w:val="32"/>
          <w:szCs w:val="32"/>
        </w:rPr>
      </w:pPr>
      <w:r>
        <w:rPr>
          <w:rFonts w:hint="eastAsia" w:ascii="仿宋" w:hAnsi="仿宋" w:eastAsia="黑体" w:cs="仿宋"/>
          <w:bCs/>
          <w:color w:val="000000"/>
          <w:sz w:val="32"/>
          <w:szCs w:val="32"/>
        </w:rPr>
        <w:t>第二十七条　</w:t>
      </w:r>
      <w:r>
        <w:rPr>
          <w:rFonts w:hint="eastAsia" w:ascii="仿宋_GB2312" w:hAnsi="仿宋_GB2312" w:eastAsia="仿宋_GB2312" w:cs="仿宋_GB2312"/>
          <w:bCs/>
          <w:color w:val="000000"/>
          <w:sz w:val="32"/>
          <w:szCs w:val="32"/>
        </w:rPr>
        <w:t>公园和广场内禁止车辆进入停车场以外的区域，但下列车辆除外：</w:t>
      </w:r>
    </w:p>
    <w:p w14:paraId="31BB9AF9">
      <w:pPr>
        <w:adjustRightInd w:val="0"/>
        <w:snapToGrid w:val="0"/>
        <w:spacing w:line="576" w:lineRule="exact"/>
        <w:ind w:firstLine="640" w:firstLineChars="200"/>
        <w:rPr>
          <w:rFonts w:hint="eastAsia" w:ascii="仿宋_GB2312" w:hAnsi="仿宋_GB2312" w:eastAsia="仿宋_GB2312" w:cs="仿宋_GB2312"/>
          <w:bCs/>
          <w:color w:val="000000"/>
          <w:sz w:val="32"/>
          <w:szCs w:val="32"/>
        </w:rPr>
      </w:pPr>
      <w:r>
        <w:rPr>
          <w:rFonts w:hint="eastAsia" w:ascii="仿宋_GB2312" w:hAnsi="仿宋_GB2312" w:eastAsia="仿宋_GB2312" w:cs="仿宋_GB2312"/>
          <w:bCs/>
          <w:color w:val="000000"/>
          <w:sz w:val="32"/>
          <w:szCs w:val="32"/>
        </w:rPr>
        <w:t>（一）老、幼、病、残者专用的非机动车；</w:t>
      </w:r>
    </w:p>
    <w:p w14:paraId="521B192C">
      <w:pPr>
        <w:spacing w:line="576" w:lineRule="exact"/>
        <w:ind w:firstLine="640" w:firstLineChars="200"/>
        <w:rPr>
          <w:rFonts w:hint="eastAsia" w:ascii="仿宋_GB2312" w:hAnsi="仿宋_GB2312" w:eastAsia="仿宋_GB2312" w:cs="仿宋_GB2312"/>
          <w:bCs/>
          <w:color w:val="000000"/>
          <w:sz w:val="32"/>
          <w:szCs w:val="32"/>
        </w:rPr>
      </w:pPr>
      <w:r>
        <w:rPr>
          <w:rFonts w:hint="eastAsia" w:ascii="仿宋_GB2312" w:hAnsi="仿宋_GB2312" w:eastAsia="仿宋_GB2312" w:cs="仿宋_GB2312"/>
          <w:bCs/>
          <w:color w:val="000000"/>
          <w:sz w:val="32"/>
          <w:szCs w:val="32"/>
        </w:rPr>
        <w:t>（二）正在执行公务的警车、消防车、救护车、工程救险车，以及电力、水务及通信等作业车辆；</w:t>
      </w:r>
    </w:p>
    <w:p w14:paraId="09E1EB5D">
      <w:pPr>
        <w:spacing w:line="576" w:lineRule="exact"/>
        <w:ind w:firstLine="640" w:firstLineChars="200"/>
        <w:rPr>
          <w:rFonts w:hint="eastAsia" w:ascii="仿宋_GB2312" w:hAnsi="仿宋_GB2312" w:eastAsia="仿宋_GB2312" w:cs="仿宋_GB2312"/>
          <w:bCs/>
          <w:color w:val="000000"/>
          <w:sz w:val="32"/>
          <w:szCs w:val="32"/>
        </w:rPr>
      </w:pPr>
      <w:r>
        <w:rPr>
          <w:rFonts w:hint="eastAsia" w:ascii="仿宋_GB2312" w:hAnsi="仿宋_GB2312" w:eastAsia="仿宋_GB2312" w:cs="仿宋_GB2312"/>
          <w:bCs/>
          <w:color w:val="000000"/>
          <w:sz w:val="32"/>
          <w:szCs w:val="32"/>
        </w:rPr>
        <w:t>（三）驻园单位公务车辆，执行环卫、养护等园内管理任务车辆，公园观光车辆。</w:t>
      </w:r>
    </w:p>
    <w:p w14:paraId="7EF86608">
      <w:pPr>
        <w:spacing w:line="576" w:lineRule="exact"/>
        <w:ind w:firstLine="640" w:firstLineChars="200"/>
        <w:rPr>
          <w:rFonts w:hint="eastAsia" w:ascii="仿宋_GB2312" w:hAnsi="仿宋_GB2312" w:eastAsia="仿宋_GB2312" w:cs="仿宋_GB2312"/>
          <w:bCs/>
          <w:color w:val="000000"/>
          <w:sz w:val="32"/>
          <w:szCs w:val="32"/>
        </w:rPr>
      </w:pPr>
      <w:r>
        <w:rPr>
          <w:rFonts w:hint="eastAsia" w:ascii="仿宋_GB2312" w:hAnsi="仿宋_GB2312" w:eastAsia="仿宋_GB2312" w:cs="仿宋_GB2312"/>
          <w:bCs/>
          <w:color w:val="000000"/>
          <w:sz w:val="32"/>
          <w:szCs w:val="32"/>
        </w:rPr>
        <w:t>允许进入公园和广场的车辆，应当按照公园和广场管理机构要求行驶和停放。管理机构应当制定入园车辆管理细则，明确车辆类型、行驶路线、行驶速度和停放场地等要求，切实保障游客的游览和安全。</w:t>
      </w:r>
    </w:p>
    <w:p w14:paraId="02783B09">
      <w:pPr>
        <w:spacing w:line="576" w:lineRule="exact"/>
        <w:ind w:firstLine="640" w:firstLineChars="200"/>
        <w:rPr>
          <w:rFonts w:hint="eastAsia" w:ascii="仿宋_GB2312" w:hAnsi="仿宋" w:eastAsia="仿宋_GB2312" w:cs="仿宋"/>
          <w:bCs/>
          <w:color w:val="000000"/>
          <w:sz w:val="32"/>
          <w:szCs w:val="32"/>
        </w:rPr>
      </w:pPr>
      <w:r>
        <w:rPr>
          <w:rFonts w:hint="eastAsia" w:ascii="仿宋" w:hAnsi="仿宋" w:eastAsia="黑体" w:cs="仿宋"/>
          <w:bCs/>
          <w:color w:val="000000"/>
          <w:sz w:val="32"/>
          <w:szCs w:val="32"/>
        </w:rPr>
        <w:t>第二十八条　</w:t>
      </w:r>
      <w:r>
        <w:rPr>
          <w:rFonts w:hint="eastAsia" w:ascii="仿宋_GB2312" w:hAnsi="仿宋" w:eastAsia="仿宋_GB2312" w:cs="仿宋"/>
          <w:bCs/>
          <w:color w:val="000000"/>
          <w:sz w:val="32"/>
          <w:szCs w:val="32"/>
        </w:rPr>
        <w:t>公园</w:t>
      </w:r>
      <w:r>
        <w:rPr>
          <w:rFonts w:hint="eastAsia" w:ascii="仿宋_GB2312" w:hAnsi="黑体" w:eastAsia="仿宋_GB2312" w:cs="黑体"/>
          <w:bCs/>
          <w:color w:val="000000"/>
          <w:sz w:val="32"/>
          <w:szCs w:val="32"/>
        </w:rPr>
        <w:t>和</w:t>
      </w:r>
      <w:r>
        <w:rPr>
          <w:rFonts w:hint="eastAsia" w:ascii="仿宋_GB2312" w:hAnsi="仿宋" w:eastAsia="仿宋_GB2312" w:cs="仿宋"/>
          <w:bCs/>
          <w:color w:val="000000"/>
          <w:sz w:val="32"/>
          <w:szCs w:val="32"/>
        </w:rPr>
        <w:t>广场内禁止下列行为：</w:t>
      </w:r>
    </w:p>
    <w:p w14:paraId="72E8C8B7">
      <w:pPr>
        <w:spacing w:line="576" w:lineRule="exact"/>
        <w:ind w:firstLine="640" w:firstLineChars="200"/>
        <w:rPr>
          <w:rFonts w:hint="eastAsia" w:ascii="仿宋_GB2312" w:hAnsi="仿宋_GB2312" w:eastAsia="仿宋_GB2312" w:cs="仿宋_GB2312"/>
          <w:bCs/>
          <w:color w:val="000000"/>
          <w:sz w:val="32"/>
          <w:szCs w:val="32"/>
        </w:rPr>
      </w:pPr>
      <w:r>
        <w:rPr>
          <w:rFonts w:hint="eastAsia" w:ascii="仿宋_GB2312" w:hAnsi="仿宋_GB2312" w:eastAsia="仿宋_GB2312" w:cs="仿宋_GB2312"/>
          <w:bCs/>
          <w:color w:val="000000"/>
          <w:sz w:val="32"/>
          <w:szCs w:val="32"/>
        </w:rPr>
        <w:t>（一）随地吐痰、便溺；</w:t>
      </w:r>
    </w:p>
    <w:p w14:paraId="71596C56">
      <w:pPr>
        <w:spacing w:line="576" w:lineRule="exact"/>
        <w:ind w:firstLine="640" w:firstLineChars="200"/>
        <w:rPr>
          <w:rFonts w:hint="eastAsia" w:ascii="仿宋_GB2312" w:hAnsi="仿宋_GB2312" w:eastAsia="仿宋_GB2312" w:cs="仿宋_GB2312"/>
          <w:bCs/>
          <w:color w:val="000000"/>
          <w:sz w:val="32"/>
          <w:szCs w:val="32"/>
        </w:rPr>
      </w:pPr>
      <w:r>
        <w:rPr>
          <w:rFonts w:hint="eastAsia" w:ascii="仿宋_GB2312" w:hAnsi="仿宋_GB2312" w:eastAsia="仿宋_GB2312" w:cs="仿宋_GB2312"/>
          <w:bCs/>
          <w:color w:val="000000"/>
          <w:sz w:val="32"/>
          <w:szCs w:val="32"/>
        </w:rPr>
        <w:t>（二）乱丢瓜果皮核、烟蒂、纸屑、口香糖、饮料瓶、包装袋等废弃物，乱倒个人产生的生活垃圾；</w:t>
      </w:r>
    </w:p>
    <w:p w14:paraId="36D552FF">
      <w:pPr>
        <w:spacing w:line="576" w:lineRule="exact"/>
        <w:ind w:firstLine="640" w:firstLineChars="200"/>
        <w:rPr>
          <w:rFonts w:hint="eastAsia" w:ascii="仿宋_GB2312" w:hAnsi="仿宋_GB2312" w:eastAsia="仿宋_GB2312" w:cs="仿宋_GB2312"/>
          <w:bCs/>
          <w:color w:val="000000"/>
          <w:sz w:val="32"/>
          <w:szCs w:val="32"/>
        </w:rPr>
      </w:pPr>
      <w:r>
        <w:rPr>
          <w:rFonts w:hint="eastAsia" w:ascii="仿宋_GB2312" w:hAnsi="仿宋_GB2312" w:eastAsia="仿宋_GB2312" w:cs="仿宋_GB2312"/>
          <w:bCs/>
          <w:color w:val="000000"/>
          <w:sz w:val="32"/>
          <w:szCs w:val="32"/>
        </w:rPr>
        <w:t>（三）攀折树木，在树木上钉栓刻划、晾晒捆绑、倚靠车辆，践踏草坪、采摘花果；</w:t>
      </w:r>
    </w:p>
    <w:p w14:paraId="13DAE3AF">
      <w:pPr>
        <w:spacing w:line="576" w:lineRule="exact"/>
        <w:ind w:firstLine="640" w:firstLineChars="200"/>
        <w:rPr>
          <w:rFonts w:hint="eastAsia" w:ascii="仿宋_GB2312" w:hAnsi="仿宋_GB2312" w:eastAsia="仿宋_GB2312" w:cs="仿宋_GB2312"/>
          <w:bCs/>
          <w:color w:val="000000"/>
          <w:sz w:val="32"/>
          <w:szCs w:val="32"/>
        </w:rPr>
      </w:pPr>
      <w:r>
        <w:rPr>
          <w:rFonts w:hint="eastAsia" w:ascii="仿宋_GB2312" w:hAnsi="仿宋_GB2312" w:eastAsia="仿宋_GB2312" w:cs="仿宋_GB2312"/>
          <w:bCs/>
          <w:color w:val="000000"/>
          <w:sz w:val="32"/>
          <w:szCs w:val="32"/>
        </w:rPr>
        <w:t>（四）焚烧枯枝落叶、杂物及其他产生烟尘污染的物质；</w:t>
      </w:r>
    </w:p>
    <w:p w14:paraId="7A059ADA">
      <w:pPr>
        <w:spacing w:line="576" w:lineRule="exact"/>
        <w:ind w:firstLine="640" w:firstLineChars="200"/>
        <w:rPr>
          <w:rFonts w:hint="eastAsia" w:ascii="仿宋_GB2312" w:hAnsi="仿宋_GB2312" w:eastAsia="仿宋_GB2312" w:cs="仿宋_GB2312"/>
          <w:bCs/>
          <w:color w:val="000000"/>
          <w:sz w:val="32"/>
          <w:szCs w:val="32"/>
        </w:rPr>
      </w:pPr>
      <w:r>
        <w:rPr>
          <w:rFonts w:hint="eastAsia" w:ascii="仿宋_GB2312" w:hAnsi="仿宋_GB2312" w:eastAsia="仿宋_GB2312" w:cs="仿宋_GB2312"/>
          <w:bCs/>
          <w:color w:val="000000"/>
          <w:sz w:val="32"/>
          <w:szCs w:val="32"/>
        </w:rPr>
        <w:t>（五）擅自采石、取土；</w:t>
      </w:r>
    </w:p>
    <w:p w14:paraId="087598E8">
      <w:pPr>
        <w:spacing w:line="576" w:lineRule="exact"/>
        <w:ind w:firstLine="640" w:firstLineChars="200"/>
        <w:rPr>
          <w:rFonts w:hint="eastAsia" w:ascii="仿宋_GB2312" w:hAnsi="仿宋_GB2312" w:eastAsia="仿宋_GB2312" w:cs="仿宋_GB2312"/>
          <w:bCs/>
          <w:color w:val="000000"/>
          <w:sz w:val="32"/>
          <w:szCs w:val="32"/>
        </w:rPr>
      </w:pPr>
      <w:r>
        <w:rPr>
          <w:rFonts w:hint="eastAsia" w:ascii="仿宋_GB2312" w:hAnsi="仿宋_GB2312" w:eastAsia="仿宋_GB2312" w:cs="仿宋_GB2312"/>
          <w:bCs/>
          <w:color w:val="000000"/>
          <w:sz w:val="32"/>
          <w:szCs w:val="32"/>
        </w:rPr>
        <w:t>（六）翻越围墙、栏杆、绿篱，攀爬建筑、雕塑、假山；</w:t>
      </w:r>
    </w:p>
    <w:p w14:paraId="4519CA16">
      <w:pPr>
        <w:spacing w:line="576" w:lineRule="exact"/>
        <w:ind w:firstLine="640" w:firstLineChars="200"/>
        <w:rPr>
          <w:rFonts w:hint="eastAsia" w:ascii="仿宋_GB2312" w:hAnsi="仿宋_GB2312" w:eastAsia="仿宋_GB2312" w:cs="仿宋_GB2312"/>
          <w:bCs/>
          <w:color w:val="000000"/>
          <w:sz w:val="32"/>
          <w:szCs w:val="32"/>
        </w:rPr>
      </w:pPr>
      <w:r>
        <w:rPr>
          <w:rFonts w:hint="eastAsia" w:ascii="仿宋_GB2312" w:hAnsi="仿宋_GB2312" w:eastAsia="仿宋_GB2312" w:cs="仿宋_GB2312"/>
          <w:bCs/>
          <w:color w:val="000000"/>
          <w:sz w:val="32"/>
          <w:szCs w:val="32"/>
        </w:rPr>
        <w:t>（七）占卜算命、乞讨卖艺、兜售物品，以及擅自散发广告宣传品、摆摊设点、展销募捐；</w:t>
      </w:r>
    </w:p>
    <w:p w14:paraId="0171E016">
      <w:pPr>
        <w:spacing w:line="576" w:lineRule="exact"/>
        <w:ind w:firstLine="640" w:firstLineChars="200"/>
        <w:rPr>
          <w:rFonts w:hint="eastAsia" w:ascii="仿宋_GB2312" w:hAnsi="仿宋_GB2312" w:eastAsia="仿宋_GB2312" w:cs="仿宋_GB2312"/>
          <w:bCs/>
          <w:color w:val="000000"/>
          <w:sz w:val="32"/>
          <w:szCs w:val="32"/>
        </w:rPr>
      </w:pPr>
      <w:r>
        <w:rPr>
          <w:rFonts w:hint="eastAsia" w:ascii="仿宋_GB2312" w:hAnsi="仿宋_GB2312" w:eastAsia="仿宋_GB2312" w:cs="仿宋_GB2312"/>
          <w:bCs/>
          <w:color w:val="000000"/>
          <w:sz w:val="32"/>
          <w:szCs w:val="32"/>
        </w:rPr>
        <w:t>（八）在凳、椅、亭、廊等处躺卧等妨碍他人休憩的行为；</w:t>
      </w:r>
    </w:p>
    <w:p w14:paraId="345D4A95">
      <w:pPr>
        <w:spacing w:line="576" w:lineRule="exact"/>
        <w:ind w:firstLine="640" w:firstLineChars="200"/>
        <w:rPr>
          <w:rFonts w:hint="eastAsia" w:ascii="仿宋_GB2312" w:hAnsi="仿宋_GB2312" w:eastAsia="仿宋_GB2312" w:cs="仿宋_GB2312"/>
          <w:bCs/>
          <w:color w:val="000000"/>
          <w:sz w:val="32"/>
          <w:szCs w:val="32"/>
        </w:rPr>
      </w:pPr>
      <w:r>
        <w:rPr>
          <w:rFonts w:hint="eastAsia" w:ascii="仿宋_GB2312" w:hAnsi="仿宋_GB2312" w:eastAsia="仿宋_GB2312" w:cs="仿宋_GB2312"/>
          <w:bCs/>
          <w:color w:val="000000"/>
          <w:sz w:val="32"/>
          <w:szCs w:val="32"/>
        </w:rPr>
        <w:t>（九）擅自燃放烟花爆竹、放飞孔明灯；</w:t>
      </w:r>
    </w:p>
    <w:p w14:paraId="2F3D601E">
      <w:pPr>
        <w:spacing w:line="576" w:lineRule="exact"/>
        <w:ind w:firstLine="640" w:firstLineChars="200"/>
        <w:rPr>
          <w:rFonts w:hint="eastAsia" w:ascii="仿宋_GB2312" w:hAnsi="仿宋_GB2312" w:eastAsia="仿宋_GB2312" w:cs="仿宋_GB2312"/>
          <w:bCs/>
          <w:color w:val="000000"/>
          <w:sz w:val="32"/>
          <w:szCs w:val="32"/>
        </w:rPr>
      </w:pPr>
      <w:r>
        <w:rPr>
          <w:rFonts w:hint="eastAsia" w:ascii="仿宋_GB2312" w:hAnsi="仿宋_GB2312" w:eastAsia="仿宋_GB2312" w:cs="仿宋_GB2312"/>
          <w:bCs/>
          <w:color w:val="000000"/>
          <w:sz w:val="32"/>
          <w:szCs w:val="32"/>
        </w:rPr>
        <w:t>（十）采用刻画、喷涂、胶贴等难以清除的方式进行广告宣传；</w:t>
      </w:r>
    </w:p>
    <w:p w14:paraId="448E6D57">
      <w:pPr>
        <w:spacing w:line="576" w:lineRule="exact"/>
        <w:ind w:firstLine="640" w:firstLineChars="200"/>
        <w:rPr>
          <w:rFonts w:hint="eastAsia" w:ascii="仿宋_GB2312" w:hAnsi="仿宋_GB2312" w:eastAsia="仿宋_GB2312" w:cs="仿宋_GB2312"/>
          <w:bCs/>
          <w:color w:val="000000"/>
          <w:sz w:val="32"/>
          <w:szCs w:val="32"/>
        </w:rPr>
      </w:pPr>
      <w:r>
        <w:rPr>
          <w:rFonts w:hint="eastAsia" w:ascii="仿宋_GB2312" w:hAnsi="仿宋_GB2312" w:eastAsia="仿宋_GB2312" w:cs="仿宋_GB2312"/>
          <w:bCs/>
          <w:color w:val="000000"/>
          <w:sz w:val="32"/>
          <w:szCs w:val="32"/>
        </w:rPr>
        <w:t>（十一）在非指定区域游泳、滑冰、露营、烧烤、营火、垂钓、撒网捕鱼；</w:t>
      </w:r>
    </w:p>
    <w:p w14:paraId="4ABCD2AD">
      <w:pPr>
        <w:spacing w:line="576" w:lineRule="exact"/>
        <w:ind w:firstLine="640" w:firstLineChars="200"/>
        <w:rPr>
          <w:rFonts w:hint="eastAsia" w:ascii="仿宋_GB2312" w:hAnsi="仿宋_GB2312" w:eastAsia="仿宋_GB2312" w:cs="仿宋_GB2312"/>
          <w:bCs/>
          <w:color w:val="000000"/>
          <w:sz w:val="32"/>
          <w:szCs w:val="32"/>
        </w:rPr>
      </w:pPr>
      <w:r>
        <w:rPr>
          <w:rFonts w:hint="eastAsia" w:ascii="仿宋_GB2312" w:hAnsi="仿宋_GB2312" w:eastAsia="仿宋_GB2312" w:cs="仿宋_GB2312"/>
          <w:bCs/>
          <w:color w:val="000000"/>
          <w:sz w:val="32"/>
          <w:szCs w:val="32"/>
        </w:rPr>
        <w:t>（十二）携带动物进入设有禁止标识的公园，辅助犬等法律法规规定动物除外；</w:t>
      </w:r>
    </w:p>
    <w:p w14:paraId="5B79EE8B">
      <w:pPr>
        <w:spacing w:line="576" w:lineRule="exact"/>
        <w:ind w:firstLine="640" w:firstLineChars="200"/>
        <w:rPr>
          <w:rFonts w:hint="eastAsia" w:ascii="仿宋_GB2312" w:hAnsi="仿宋_GB2312" w:eastAsia="仿宋_GB2312" w:cs="仿宋_GB2312"/>
          <w:bCs/>
          <w:color w:val="000000"/>
          <w:sz w:val="32"/>
          <w:szCs w:val="32"/>
        </w:rPr>
      </w:pPr>
      <w:r>
        <w:rPr>
          <w:rFonts w:hint="eastAsia" w:ascii="仿宋_GB2312" w:hAnsi="仿宋_GB2312" w:eastAsia="仿宋_GB2312" w:cs="仿宋_GB2312"/>
          <w:bCs/>
          <w:color w:val="000000"/>
          <w:sz w:val="32"/>
          <w:szCs w:val="32"/>
        </w:rPr>
        <w:t>（十三）不及时清理宠物排泄物，影响环境卫生；</w:t>
      </w:r>
    </w:p>
    <w:p w14:paraId="5ED0CEAD">
      <w:pPr>
        <w:spacing w:line="576" w:lineRule="exact"/>
        <w:ind w:firstLine="640" w:firstLineChars="200"/>
        <w:rPr>
          <w:rFonts w:hint="eastAsia" w:ascii="仿宋_GB2312" w:hAnsi="仿宋_GB2312" w:eastAsia="仿宋_GB2312" w:cs="仿宋_GB2312"/>
          <w:bCs/>
          <w:color w:val="000000"/>
          <w:sz w:val="32"/>
          <w:szCs w:val="32"/>
        </w:rPr>
      </w:pPr>
      <w:r>
        <w:rPr>
          <w:rFonts w:hint="eastAsia" w:ascii="仿宋_GB2312" w:hAnsi="仿宋_GB2312" w:eastAsia="仿宋_GB2312" w:cs="仿宋_GB2312"/>
          <w:bCs/>
          <w:color w:val="000000"/>
          <w:sz w:val="32"/>
          <w:szCs w:val="32"/>
        </w:rPr>
        <w:t>（十四）种植或者放生不符合生态要求的物种；</w:t>
      </w:r>
    </w:p>
    <w:p w14:paraId="5B50E7F4">
      <w:pPr>
        <w:spacing w:line="576" w:lineRule="exact"/>
        <w:ind w:firstLine="640" w:firstLineChars="200"/>
        <w:rPr>
          <w:rFonts w:hint="eastAsia" w:ascii="仿宋_GB2312" w:hAnsi="仿宋_GB2312" w:eastAsia="仿宋_GB2312" w:cs="仿宋_GB2312"/>
          <w:bCs/>
          <w:color w:val="000000"/>
          <w:sz w:val="32"/>
          <w:szCs w:val="32"/>
        </w:rPr>
      </w:pPr>
      <w:r>
        <w:rPr>
          <w:rFonts w:hint="eastAsia" w:ascii="仿宋_GB2312" w:hAnsi="仿宋_GB2312" w:eastAsia="仿宋_GB2312" w:cs="仿宋_GB2312"/>
          <w:bCs/>
          <w:color w:val="000000"/>
          <w:sz w:val="32"/>
          <w:szCs w:val="32"/>
        </w:rPr>
        <w:t>（十五）擅自设置大型户外广告牌；</w:t>
      </w:r>
    </w:p>
    <w:p w14:paraId="63796A1B">
      <w:pPr>
        <w:spacing w:line="576" w:lineRule="exact"/>
        <w:ind w:firstLine="640" w:firstLineChars="200"/>
        <w:rPr>
          <w:rFonts w:hint="eastAsia" w:ascii="仿宋_GB2312" w:hAnsi="仿宋_GB2312" w:eastAsia="仿宋_GB2312" w:cs="仿宋_GB2312"/>
          <w:bCs/>
          <w:color w:val="000000"/>
          <w:sz w:val="32"/>
          <w:szCs w:val="32"/>
        </w:rPr>
      </w:pPr>
      <w:r>
        <w:rPr>
          <w:rFonts w:hint="eastAsia" w:ascii="仿宋_GB2312" w:hAnsi="仿宋_GB2312" w:eastAsia="仿宋_GB2312" w:cs="仿宋_GB2312"/>
          <w:bCs/>
          <w:color w:val="000000"/>
          <w:sz w:val="32"/>
          <w:szCs w:val="32"/>
        </w:rPr>
        <w:t>（十六）携带易燃易爆物品、管制刀具等危险品；</w:t>
      </w:r>
    </w:p>
    <w:p w14:paraId="32FE4B8B">
      <w:pPr>
        <w:spacing w:line="576" w:lineRule="exact"/>
        <w:ind w:firstLine="640" w:firstLineChars="200"/>
        <w:rPr>
          <w:rFonts w:hint="eastAsia" w:ascii="仿宋_GB2312" w:hAnsi="仿宋_GB2312" w:eastAsia="仿宋_GB2312" w:cs="仿宋_GB2312"/>
          <w:bCs/>
          <w:color w:val="000000"/>
          <w:sz w:val="32"/>
          <w:szCs w:val="32"/>
        </w:rPr>
      </w:pPr>
      <w:r>
        <w:rPr>
          <w:rFonts w:hint="eastAsia" w:ascii="仿宋_GB2312" w:hAnsi="仿宋_GB2312" w:eastAsia="仿宋_GB2312" w:cs="仿宋_GB2312"/>
          <w:bCs/>
          <w:color w:val="000000"/>
          <w:sz w:val="32"/>
          <w:szCs w:val="32"/>
        </w:rPr>
        <w:t>（十七）在恶劣天气（大风、高温干旱等）预警期间使用明火，或者在禁火区域使用明火；</w:t>
      </w:r>
    </w:p>
    <w:p w14:paraId="15BED023">
      <w:pPr>
        <w:spacing w:line="576" w:lineRule="exact"/>
        <w:ind w:firstLine="640" w:firstLineChars="200"/>
        <w:rPr>
          <w:rFonts w:hint="eastAsia" w:ascii="仿宋_GB2312" w:hAnsi="仿宋_GB2312" w:eastAsia="仿宋_GB2312" w:cs="仿宋_GB2312"/>
          <w:bCs/>
          <w:color w:val="000000"/>
          <w:sz w:val="32"/>
          <w:szCs w:val="32"/>
        </w:rPr>
      </w:pPr>
      <w:r>
        <w:rPr>
          <w:rFonts w:hint="eastAsia" w:ascii="仿宋_GB2312" w:hAnsi="仿宋_GB2312" w:eastAsia="仿宋_GB2312" w:cs="仿宋_GB2312"/>
          <w:bCs/>
          <w:color w:val="000000"/>
          <w:sz w:val="32"/>
          <w:szCs w:val="32"/>
        </w:rPr>
        <w:t>（十八）其他违反法律、法规、社会公序良俗的行为。</w:t>
      </w:r>
    </w:p>
    <w:p w14:paraId="4F1FDF39">
      <w:pPr>
        <w:widowControl/>
        <w:spacing w:line="576" w:lineRule="exact"/>
        <w:ind w:firstLine="640" w:firstLineChars="200"/>
        <w:rPr>
          <w:rFonts w:hint="eastAsia" w:ascii="仿宋_GB2312" w:hAnsi="仿宋" w:eastAsia="仿宋_GB2312" w:cs="仿宋"/>
          <w:bCs/>
          <w:color w:val="000000"/>
          <w:sz w:val="32"/>
          <w:szCs w:val="32"/>
        </w:rPr>
      </w:pPr>
      <w:r>
        <w:rPr>
          <w:rFonts w:hint="eastAsia" w:ascii="仿宋" w:hAnsi="仿宋" w:eastAsia="黑体" w:cs="仿宋"/>
          <w:bCs/>
          <w:color w:val="000000"/>
          <w:sz w:val="32"/>
          <w:szCs w:val="32"/>
        </w:rPr>
        <w:t>第二十九条</w:t>
      </w:r>
      <w:r>
        <w:rPr>
          <w:rFonts w:hint="eastAsia" w:ascii="仿宋" w:hAnsi="仿宋" w:eastAsia="仿宋_GB2312" w:cs="仿宋"/>
          <w:bCs/>
          <w:color w:val="000000"/>
          <w:sz w:val="32"/>
          <w:szCs w:val="32"/>
        </w:rPr>
        <w:t>　</w:t>
      </w:r>
      <w:r>
        <w:rPr>
          <w:rFonts w:hint="eastAsia" w:ascii="仿宋_GB2312" w:hAnsi="仿宋" w:eastAsia="仿宋_GB2312" w:cs="仿宋"/>
          <w:bCs/>
          <w:color w:val="000000"/>
          <w:sz w:val="32"/>
          <w:szCs w:val="32"/>
        </w:rPr>
        <w:t>鼓励公园</w:t>
      </w:r>
      <w:r>
        <w:rPr>
          <w:rFonts w:hint="eastAsia" w:ascii="仿宋_GB2312" w:hAnsi="黑体" w:eastAsia="仿宋_GB2312" w:cs="黑体"/>
          <w:bCs/>
          <w:color w:val="000000"/>
          <w:sz w:val="32"/>
          <w:szCs w:val="32"/>
        </w:rPr>
        <w:t>和</w:t>
      </w:r>
      <w:r>
        <w:rPr>
          <w:rFonts w:hint="eastAsia" w:ascii="仿宋_GB2312" w:hAnsi="仿宋" w:eastAsia="仿宋_GB2312" w:cs="仿宋"/>
          <w:bCs/>
          <w:color w:val="000000"/>
          <w:sz w:val="32"/>
          <w:szCs w:val="32"/>
        </w:rPr>
        <w:t>广场管理机构利用科技手段，建立综合管理服务数字平台，实现信息公开和动态监管，提高公园</w:t>
      </w:r>
      <w:r>
        <w:rPr>
          <w:rFonts w:hint="eastAsia" w:ascii="仿宋_GB2312" w:hAnsi="黑体" w:eastAsia="仿宋_GB2312" w:cs="黑体"/>
          <w:bCs/>
          <w:color w:val="000000"/>
          <w:sz w:val="32"/>
          <w:szCs w:val="32"/>
        </w:rPr>
        <w:t>和</w:t>
      </w:r>
      <w:r>
        <w:rPr>
          <w:rFonts w:hint="eastAsia" w:ascii="仿宋_GB2312" w:hAnsi="仿宋" w:eastAsia="仿宋_GB2312" w:cs="仿宋"/>
          <w:bCs/>
          <w:color w:val="000000"/>
          <w:sz w:val="32"/>
          <w:szCs w:val="32"/>
        </w:rPr>
        <w:t>广场管理服务质量。</w:t>
      </w:r>
    </w:p>
    <w:p w14:paraId="51F07357">
      <w:pPr>
        <w:spacing w:line="576" w:lineRule="exact"/>
        <w:ind w:firstLine="640" w:firstLineChars="200"/>
        <w:rPr>
          <w:rFonts w:hint="eastAsia" w:ascii="仿宋_GB2312" w:hAnsi="仿宋" w:eastAsia="仿宋_GB2312" w:cs="仿宋"/>
          <w:bCs/>
          <w:color w:val="000000"/>
          <w:sz w:val="32"/>
          <w:szCs w:val="32"/>
        </w:rPr>
      </w:pPr>
      <w:r>
        <w:rPr>
          <w:rFonts w:hint="eastAsia" w:ascii="仿宋_GB2312" w:hAnsi="仿宋" w:eastAsia="仿宋_GB2312" w:cs="仿宋"/>
          <w:bCs/>
          <w:color w:val="000000"/>
          <w:sz w:val="32"/>
          <w:szCs w:val="32"/>
        </w:rPr>
        <w:t>住房和城乡建设部门以及</w:t>
      </w:r>
      <w:r>
        <w:rPr>
          <w:rFonts w:hint="eastAsia" w:ascii="仿宋_GB2312" w:hAnsi="黑体" w:eastAsia="仿宋_GB2312" w:cs="黑体"/>
          <w:bCs/>
          <w:color w:val="000000"/>
          <w:sz w:val="32"/>
          <w:szCs w:val="32"/>
        </w:rPr>
        <w:t>公园和广场</w:t>
      </w:r>
      <w:r>
        <w:rPr>
          <w:rFonts w:hint="eastAsia" w:ascii="仿宋_GB2312" w:hAnsi="仿宋" w:eastAsia="仿宋_GB2312" w:cs="仿宋"/>
          <w:bCs/>
          <w:color w:val="000000"/>
          <w:sz w:val="32"/>
          <w:szCs w:val="32"/>
        </w:rPr>
        <w:t>管理机构应当建立监督机制，向社会公布受理投诉、举报的电话，接受社会公众和新闻媒体的监督。</w:t>
      </w:r>
    </w:p>
    <w:p w14:paraId="18D01576">
      <w:pPr>
        <w:spacing w:before="312" w:beforeLines="100" w:after="312" w:afterLines="100" w:line="576" w:lineRule="exact"/>
        <w:jc w:val="center"/>
        <w:rPr>
          <w:rFonts w:ascii="仿宋" w:hAnsi="仿宋" w:eastAsia="黑体" w:cs="仿宋"/>
          <w:bCs/>
          <w:color w:val="000000"/>
          <w:sz w:val="32"/>
          <w:szCs w:val="32"/>
        </w:rPr>
      </w:pPr>
      <w:r>
        <w:rPr>
          <w:rFonts w:hint="eastAsia" w:ascii="仿宋" w:hAnsi="仿宋" w:eastAsia="黑体" w:cs="仿宋"/>
          <w:bCs/>
          <w:color w:val="000000"/>
          <w:sz w:val="32"/>
          <w:szCs w:val="32"/>
        </w:rPr>
        <w:t>第四章　法律责任</w:t>
      </w:r>
    </w:p>
    <w:p w14:paraId="20FD4965">
      <w:pPr>
        <w:spacing w:line="576" w:lineRule="exact"/>
        <w:ind w:firstLine="640" w:firstLineChars="200"/>
        <w:rPr>
          <w:rFonts w:hint="eastAsia" w:ascii="仿宋_GB2312" w:hAnsi="仿宋_GB2312" w:eastAsia="仿宋_GB2312" w:cs="仿宋_GB2312"/>
          <w:bCs/>
          <w:color w:val="000000"/>
          <w:sz w:val="32"/>
          <w:szCs w:val="32"/>
        </w:rPr>
      </w:pPr>
      <w:r>
        <w:rPr>
          <w:rFonts w:hint="eastAsia" w:ascii="仿宋" w:hAnsi="仿宋" w:eastAsia="黑体" w:cs="仿宋"/>
          <w:bCs/>
          <w:color w:val="000000"/>
          <w:sz w:val="32"/>
          <w:szCs w:val="32"/>
        </w:rPr>
        <w:t>第三十条　</w:t>
      </w:r>
      <w:r>
        <w:rPr>
          <w:rFonts w:hint="eastAsia" w:ascii="仿宋_GB2312" w:hAnsi="仿宋" w:eastAsia="仿宋_GB2312" w:cs="仿宋"/>
          <w:bCs/>
          <w:color w:val="000000"/>
          <w:sz w:val="32"/>
          <w:szCs w:val="32"/>
        </w:rPr>
        <w:t>违</w:t>
      </w:r>
      <w:r>
        <w:rPr>
          <w:rFonts w:hint="eastAsia" w:ascii="仿宋_GB2312" w:hAnsi="仿宋_GB2312" w:eastAsia="仿宋_GB2312" w:cs="仿宋_GB2312"/>
          <w:bCs/>
          <w:color w:val="000000"/>
          <w:sz w:val="32"/>
          <w:szCs w:val="32"/>
        </w:rPr>
        <w:t>反本条例第二十三条规定，在公园和广场内组织或者开展娱乐、健身等活动，未遵守有关活动区域、时段、音量等规定，未采取有效措施造成噪声污染，或者违反规定使用音响器材产生过大音量的，由公安部门说服教育，责令改正；拒不改正的，给予警告，对个人可以处二百元以上一千元以下罚款，对单位可以处二千元以上二万元以下罚款。</w:t>
      </w:r>
    </w:p>
    <w:p w14:paraId="6589681D">
      <w:pPr>
        <w:spacing w:line="576" w:lineRule="exact"/>
        <w:ind w:firstLine="640" w:firstLineChars="200"/>
        <w:rPr>
          <w:rFonts w:hint="eastAsia" w:ascii="仿宋_GB2312" w:hAnsi="仿宋" w:eastAsia="仿宋_GB2312" w:cs="仿宋"/>
          <w:bCs/>
          <w:color w:val="000000"/>
          <w:sz w:val="32"/>
          <w:szCs w:val="32"/>
        </w:rPr>
      </w:pPr>
      <w:r>
        <w:rPr>
          <w:rFonts w:hint="eastAsia" w:ascii="仿宋" w:hAnsi="仿宋" w:eastAsia="黑体" w:cs="仿宋"/>
          <w:bCs/>
          <w:color w:val="000000"/>
          <w:sz w:val="32"/>
          <w:szCs w:val="32"/>
        </w:rPr>
        <w:t>第三十一条　</w:t>
      </w:r>
      <w:r>
        <w:rPr>
          <w:rFonts w:hint="eastAsia" w:ascii="仿宋_GB2312" w:hAnsi="仿宋" w:eastAsia="仿宋_GB2312" w:cs="仿宋"/>
          <w:bCs/>
          <w:color w:val="000000"/>
          <w:sz w:val="32"/>
          <w:szCs w:val="32"/>
        </w:rPr>
        <w:t>违反本条例第</w:t>
      </w:r>
      <w:r>
        <w:rPr>
          <w:rFonts w:hint="eastAsia" w:ascii="仿宋_GB2312" w:hAnsi="仿宋_GB2312" w:eastAsia="仿宋_GB2312" w:cs="仿宋_GB2312"/>
          <w:bCs/>
          <w:color w:val="000000"/>
          <w:sz w:val="32"/>
          <w:szCs w:val="32"/>
        </w:rPr>
        <w:t>二十八条规</w:t>
      </w:r>
      <w:r>
        <w:rPr>
          <w:rFonts w:hint="eastAsia" w:ascii="仿宋_GB2312" w:hAnsi="仿宋" w:eastAsia="仿宋_GB2312" w:cs="仿宋"/>
          <w:bCs/>
          <w:color w:val="000000"/>
          <w:sz w:val="32"/>
          <w:szCs w:val="32"/>
        </w:rPr>
        <w:t>定，</w:t>
      </w:r>
      <w:r>
        <w:rPr>
          <w:rFonts w:hint="eastAsia" w:ascii="仿宋_GB2312" w:hAnsi="黑体" w:eastAsia="仿宋_GB2312" w:cs="黑体"/>
          <w:bCs/>
          <w:color w:val="000000"/>
          <w:sz w:val="32"/>
          <w:szCs w:val="32"/>
        </w:rPr>
        <w:t>由城市管理行政执法部门</w:t>
      </w:r>
      <w:r>
        <w:rPr>
          <w:rFonts w:hint="eastAsia" w:ascii="仿宋_GB2312" w:hAnsi="仿宋" w:eastAsia="仿宋_GB2312" w:cs="仿宋"/>
          <w:bCs/>
          <w:color w:val="000000"/>
          <w:sz w:val="32"/>
          <w:szCs w:val="32"/>
        </w:rPr>
        <w:t>按下列办法处罚：</w:t>
      </w:r>
    </w:p>
    <w:p w14:paraId="57BFF759">
      <w:pPr>
        <w:spacing w:line="576" w:lineRule="exact"/>
        <w:ind w:firstLine="640" w:firstLineChars="200"/>
        <w:rPr>
          <w:rFonts w:hint="eastAsia" w:ascii="仿宋_GB2312" w:hAnsi="仿宋" w:eastAsia="仿宋_GB2312" w:cs="仿宋"/>
          <w:bCs/>
          <w:color w:val="000000"/>
          <w:sz w:val="32"/>
          <w:szCs w:val="32"/>
        </w:rPr>
      </w:pPr>
      <w:r>
        <w:rPr>
          <w:rFonts w:hint="eastAsia" w:ascii="仿宋_GB2312" w:hAnsi="仿宋" w:eastAsia="仿宋_GB2312" w:cs="仿宋"/>
          <w:bCs/>
          <w:color w:val="000000"/>
          <w:sz w:val="32"/>
          <w:szCs w:val="32"/>
        </w:rPr>
        <w:t>（一）违反第一项规定，随地吐痰、便溺的，责令自行清除；拒不清除的，处二十元以上一百元以下罚款。</w:t>
      </w:r>
    </w:p>
    <w:p w14:paraId="062B955F">
      <w:pPr>
        <w:spacing w:line="576" w:lineRule="exact"/>
        <w:ind w:firstLine="640" w:firstLineChars="200"/>
        <w:rPr>
          <w:rFonts w:hint="eastAsia" w:ascii="仿宋_GB2312" w:hAnsi="仿宋" w:eastAsia="仿宋_GB2312" w:cs="仿宋"/>
          <w:bCs/>
          <w:color w:val="000000"/>
          <w:sz w:val="32"/>
          <w:szCs w:val="32"/>
        </w:rPr>
      </w:pPr>
      <w:r>
        <w:rPr>
          <w:rFonts w:hint="eastAsia" w:ascii="仿宋_GB2312" w:hAnsi="仿宋" w:eastAsia="仿宋_GB2312" w:cs="仿宋"/>
          <w:bCs/>
          <w:color w:val="000000"/>
          <w:sz w:val="32"/>
          <w:szCs w:val="32"/>
        </w:rPr>
        <w:t>（二）违反第二项规定，乱扔瓜果皮核、烟蒂、纸屑、口香糖、饮料瓶、包装袋等废弃物，乱倒个人产生的生活垃圾的，责令改正，处一百元以上一千元以下罚款。</w:t>
      </w:r>
    </w:p>
    <w:p w14:paraId="6D6433C6">
      <w:pPr>
        <w:spacing w:line="576" w:lineRule="exact"/>
        <w:ind w:firstLine="640" w:firstLineChars="200"/>
        <w:rPr>
          <w:rFonts w:hint="eastAsia" w:ascii="仿宋_GB2312" w:hAnsi="仿宋" w:eastAsia="仿宋_GB2312" w:cs="仿宋"/>
          <w:bCs/>
          <w:color w:val="000000"/>
          <w:sz w:val="32"/>
          <w:szCs w:val="32"/>
        </w:rPr>
      </w:pPr>
      <w:r>
        <w:rPr>
          <w:rFonts w:hint="eastAsia" w:ascii="仿宋_GB2312" w:hAnsi="仿宋" w:eastAsia="仿宋_GB2312" w:cs="仿宋"/>
          <w:bCs/>
          <w:color w:val="000000"/>
          <w:sz w:val="32"/>
          <w:szCs w:val="32"/>
        </w:rPr>
        <w:t>（三）违反第三项规定，攀折树木，在树木上钉栓刻划，践踏草坪、采摘花果的，责令停止侵害，可以并处五十元以上二百元以下罚款；造成损失的，依法承担赔偿责任。</w:t>
      </w:r>
    </w:p>
    <w:p w14:paraId="58C3A2E0">
      <w:pPr>
        <w:spacing w:line="576" w:lineRule="exact"/>
        <w:ind w:firstLine="640" w:firstLineChars="200"/>
        <w:rPr>
          <w:rFonts w:hint="eastAsia" w:ascii="仿宋_GB2312" w:hAnsi="仿宋" w:eastAsia="仿宋_GB2312" w:cs="仿宋"/>
          <w:bCs/>
          <w:color w:val="000000"/>
          <w:sz w:val="32"/>
          <w:szCs w:val="32"/>
        </w:rPr>
      </w:pPr>
      <w:r>
        <w:rPr>
          <w:rFonts w:hint="eastAsia" w:ascii="仿宋_GB2312" w:hAnsi="仿宋" w:eastAsia="仿宋_GB2312" w:cs="仿宋"/>
          <w:bCs/>
          <w:color w:val="000000"/>
          <w:sz w:val="32"/>
          <w:szCs w:val="32"/>
        </w:rPr>
        <w:t>（四）违反第四项规定，焚烧枯枝落叶、杂物及其他产生烟尘污染的物质的，责令改正，可以处五百元以上两千元以下罚款。</w:t>
      </w:r>
    </w:p>
    <w:p w14:paraId="6370DA59">
      <w:pPr>
        <w:spacing w:line="576" w:lineRule="exact"/>
        <w:ind w:firstLine="640" w:firstLineChars="200"/>
        <w:rPr>
          <w:rFonts w:hint="eastAsia" w:ascii="仿宋_GB2312" w:hAnsi="仿宋" w:eastAsia="仿宋_GB2312" w:cs="仿宋"/>
          <w:bCs/>
          <w:color w:val="000000"/>
          <w:sz w:val="32"/>
          <w:szCs w:val="32"/>
        </w:rPr>
      </w:pPr>
      <w:r>
        <w:rPr>
          <w:rFonts w:hint="eastAsia" w:ascii="仿宋_GB2312" w:hAnsi="仿宋" w:eastAsia="仿宋_GB2312" w:cs="仿宋"/>
          <w:bCs/>
          <w:color w:val="000000"/>
          <w:sz w:val="32"/>
          <w:szCs w:val="32"/>
        </w:rPr>
        <w:t>（五）违反第十项规定，采用刻画、喷涂、胶贴等难以清除的方式进行广告宣传的，责令清除，对行为人处一千元以上五千元以下罚款；对组织者处五千元以上一万元以下罚款，情节严重的，处一万元以上五万元以下罚款；在刻画、喷涂、胶贴的广告中标明其通信工具号码的，通知违法行为人到指定地点接受处理，并通知电信部门暂停该通信工具号码的使用，有关电信部门应当在接到通知后予以暂停使用。违法行为人接受处理的，应当及时通知有关电信部门予以恢复使用。暂停及重新开通号码等所需费用由违法行为人承担。</w:t>
      </w:r>
    </w:p>
    <w:p w14:paraId="7B376020">
      <w:pPr>
        <w:spacing w:line="576" w:lineRule="exact"/>
        <w:ind w:firstLine="640" w:firstLineChars="200"/>
        <w:rPr>
          <w:rFonts w:hint="eastAsia" w:ascii="仿宋_GB2312" w:hAnsi="仿宋_GB2312" w:eastAsia="仿宋_GB2312" w:cs="仿宋_GB2312"/>
          <w:bCs/>
          <w:color w:val="000000"/>
          <w:sz w:val="32"/>
          <w:szCs w:val="32"/>
        </w:rPr>
      </w:pPr>
      <w:r>
        <w:rPr>
          <w:rFonts w:hint="eastAsia" w:ascii="仿宋" w:hAnsi="仿宋" w:eastAsia="仿宋_GB2312" w:cs="仿宋"/>
          <w:bCs/>
          <w:color w:val="000000"/>
          <w:sz w:val="32"/>
          <w:szCs w:val="32"/>
        </w:rPr>
        <w:t>（六）违反第十三项规定</w:t>
      </w:r>
      <w:r>
        <w:rPr>
          <w:rFonts w:hint="eastAsia" w:ascii="仿宋_GB2312" w:hAnsi="仿宋_GB2312" w:eastAsia="仿宋_GB2312" w:cs="仿宋_GB2312"/>
          <w:bCs/>
          <w:color w:val="000000"/>
          <w:sz w:val="32"/>
          <w:szCs w:val="32"/>
        </w:rPr>
        <w:t>，携带准入宠物进入公园和广场时，未及时清理宠物排泄物的，责令改正；拒不改正的，处一百元以上二百元以下罚款。</w:t>
      </w:r>
    </w:p>
    <w:p w14:paraId="4C25D878">
      <w:pPr>
        <w:spacing w:line="576" w:lineRule="exact"/>
        <w:ind w:firstLine="640" w:firstLineChars="200"/>
        <w:rPr>
          <w:rFonts w:hint="eastAsia" w:ascii="仿宋_GB2312" w:hAnsi="仿宋" w:eastAsia="仿宋_GB2312" w:cs="仿宋"/>
          <w:bCs/>
          <w:color w:val="000000"/>
          <w:sz w:val="32"/>
          <w:szCs w:val="32"/>
        </w:rPr>
      </w:pPr>
      <w:r>
        <w:rPr>
          <w:rFonts w:hint="eastAsia" w:ascii="仿宋_GB2312" w:hAnsi="仿宋" w:eastAsia="仿宋_GB2312" w:cs="仿宋"/>
          <w:bCs/>
          <w:color w:val="000000"/>
          <w:sz w:val="32"/>
          <w:szCs w:val="32"/>
        </w:rPr>
        <w:t>（七）违反第十五</w:t>
      </w:r>
      <w:r>
        <w:rPr>
          <w:rFonts w:hint="eastAsia" w:ascii="仿宋_GB2312" w:hAnsi="仿宋_GB2312" w:eastAsia="仿宋_GB2312" w:cs="仿宋_GB2312"/>
          <w:bCs/>
          <w:color w:val="000000"/>
          <w:sz w:val="32"/>
          <w:szCs w:val="32"/>
        </w:rPr>
        <w:t>项规定，擅自设置大型户外广告牌影响市容的，责令停止违法行为，限期清理或者采取其他补救措施，并处一千元以上五千元以下罚款</w:t>
      </w:r>
      <w:r>
        <w:rPr>
          <w:rFonts w:hint="eastAsia" w:ascii="仿宋_GB2312" w:hAnsi="仿宋" w:eastAsia="仿宋_GB2312" w:cs="仿宋"/>
          <w:bCs/>
          <w:color w:val="000000"/>
          <w:sz w:val="32"/>
          <w:szCs w:val="32"/>
        </w:rPr>
        <w:t>；情节严重的，处五千元以上一万元以下罚款。</w:t>
      </w:r>
    </w:p>
    <w:p w14:paraId="770C484F">
      <w:pPr>
        <w:spacing w:line="576" w:lineRule="exact"/>
        <w:ind w:firstLine="640" w:firstLineChars="200"/>
        <w:rPr>
          <w:rFonts w:hint="eastAsia" w:ascii="仿宋_GB2312" w:hAnsi="仿宋" w:eastAsia="仿宋_GB2312" w:cs="仿宋"/>
          <w:bCs/>
          <w:color w:val="000000"/>
          <w:sz w:val="32"/>
          <w:szCs w:val="32"/>
        </w:rPr>
      </w:pPr>
      <w:r>
        <w:rPr>
          <w:rFonts w:hint="eastAsia" w:ascii="仿宋" w:hAnsi="仿宋" w:eastAsia="黑体" w:cs="仿宋"/>
          <w:bCs/>
          <w:color w:val="000000"/>
          <w:sz w:val="32"/>
          <w:szCs w:val="32"/>
        </w:rPr>
        <w:t>第三十二条</w:t>
      </w:r>
      <w:r>
        <w:rPr>
          <w:rFonts w:hint="eastAsia" w:ascii="仿宋" w:hAnsi="仿宋" w:eastAsia="仿宋_GB2312" w:cs="仿宋"/>
          <w:bCs/>
          <w:color w:val="000000"/>
          <w:sz w:val="32"/>
          <w:szCs w:val="32"/>
        </w:rPr>
        <w:t>　</w:t>
      </w:r>
      <w:r>
        <w:rPr>
          <w:rFonts w:hint="eastAsia" w:ascii="仿宋_GB2312" w:hAnsi="仿宋" w:eastAsia="仿宋_GB2312" w:cs="仿宋"/>
          <w:bCs/>
          <w:color w:val="000000"/>
          <w:sz w:val="32"/>
          <w:szCs w:val="32"/>
        </w:rPr>
        <w:t>公园</w:t>
      </w:r>
      <w:r>
        <w:rPr>
          <w:rFonts w:hint="eastAsia" w:ascii="仿宋_GB2312" w:hAnsi="黑体" w:eastAsia="仿宋_GB2312" w:cs="黑体"/>
          <w:bCs/>
          <w:color w:val="000000"/>
          <w:sz w:val="32"/>
          <w:szCs w:val="32"/>
        </w:rPr>
        <w:t>和</w:t>
      </w:r>
      <w:r>
        <w:rPr>
          <w:rFonts w:hint="eastAsia" w:ascii="仿宋_GB2312" w:hAnsi="仿宋" w:eastAsia="仿宋_GB2312" w:cs="仿宋"/>
          <w:bCs/>
          <w:color w:val="000000"/>
          <w:sz w:val="32"/>
          <w:szCs w:val="32"/>
        </w:rPr>
        <w:t>广场</w:t>
      </w:r>
      <w:r>
        <w:rPr>
          <w:rFonts w:hint="eastAsia" w:ascii="仿宋_GB2312" w:eastAsia="仿宋_GB2312"/>
          <w:bCs/>
          <w:color w:val="000000"/>
          <w:sz w:val="32"/>
          <w:szCs w:val="32"/>
        </w:rPr>
        <w:t>管理</w:t>
      </w:r>
      <w:r>
        <w:rPr>
          <w:rFonts w:hint="eastAsia" w:ascii="仿宋_GB2312" w:hAnsi="仿宋" w:eastAsia="仿宋_GB2312" w:cs="仿宋"/>
          <w:bCs/>
          <w:color w:val="000000"/>
          <w:sz w:val="32"/>
          <w:szCs w:val="32"/>
        </w:rPr>
        <w:t>机构及其工作人员未履行本条例规定的职责，有下列行为之一的，由住房和城乡建设部门责令改正，并对直接负责的主管人员和其他直接责任人员依法</w:t>
      </w:r>
      <w:r>
        <w:rPr>
          <w:rFonts w:hint="eastAsia" w:ascii="仿宋_GB2312" w:hAnsi="黑体" w:eastAsia="仿宋_GB2312" w:cs="黑体"/>
          <w:bCs/>
          <w:color w:val="000000"/>
          <w:sz w:val="32"/>
          <w:szCs w:val="32"/>
        </w:rPr>
        <w:t>给予处分</w:t>
      </w:r>
      <w:r>
        <w:rPr>
          <w:rFonts w:hint="eastAsia" w:ascii="仿宋_GB2312" w:hAnsi="仿宋" w:eastAsia="仿宋_GB2312" w:cs="仿宋"/>
          <w:bCs/>
          <w:color w:val="000000"/>
          <w:sz w:val="32"/>
          <w:szCs w:val="32"/>
        </w:rPr>
        <w:t>：</w:t>
      </w:r>
      <w:r>
        <w:rPr>
          <w:bCs/>
          <w:color w:val="000000"/>
        </w:rPr>
        <w:fldChar w:fldCharType="begin"/>
      </w:r>
      <w:r>
        <w:rPr>
          <w:bCs/>
          <w:color w:val="000000"/>
        </w:rPr>
        <w:instrText xml:space="preserve"> HYPERLINK "javascript:void(0);" </w:instrText>
      </w:r>
      <w:r>
        <w:rPr>
          <w:bCs/>
          <w:color w:val="000000"/>
        </w:rPr>
        <w:fldChar w:fldCharType="separate"/>
      </w:r>
      <w:r>
        <w:rPr>
          <w:bCs/>
          <w:color w:val="000000"/>
        </w:rPr>
        <w:fldChar w:fldCharType="end"/>
      </w:r>
    </w:p>
    <w:p w14:paraId="5AFB764D">
      <w:pPr>
        <w:spacing w:line="576" w:lineRule="exact"/>
        <w:ind w:firstLine="640" w:firstLineChars="200"/>
        <w:rPr>
          <w:rFonts w:hint="eastAsia" w:ascii="仿宋_GB2312" w:hAnsi="仿宋" w:eastAsia="仿宋_GB2312" w:cs="仿宋"/>
          <w:bCs/>
          <w:color w:val="000000"/>
          <w:sz w:val="32"/>
          <w:szCs w:val="32"/>
        </w:rPr>
      </w:pPr>
      <w:r>
        <w:rPr>
          <w:rFonts w:hint="eastAsia" w:ascii="仿宋_GB2312" w:hAnsi="仿宋" w:eastAsia="仿宋_GB2312" w:cs="仿宋"/>
          <w:bCs/>
          <w:color w:val="000000"/>
          <w:sz w:val="32"/>
          <w:szCs w:val="32"/>
        </w:rPr>
        <w:t>（一）违规在公园</w:t>
      </w:r>
      <w:r>
        <w:rPr>
          <w:rFonts w:hint="eastAsia" w:ascii="仿宋_GB2312" w:hAnsi="黑体" w:eastAsia="仿宋_GB2312" w:cs="黑体"/>
          <w:bCs/>
          <w:color w:val="000000"/>
          <w:sz w:val="32"/>
          <w:szCs w:val="32"/>
        </w:rPr>
        <w:t>和</w:t>
      </w:r>
      <w:r>
        <w:rPr>
          <w:rFonts w:hint="eastAsia" w:ascii="仿宋_GB2312" w:hAnsi="仿宋" w:eastAsia="仿宋_GB2312" w:cs="仿宋"/>
          <w:bCs/>
          <w:color w:val="000000"/>
          <w:sz w:val="32"/>
          <w:szCs w:val="32"/>
        </w:rPr>
        <w:t>广场范围内进行建设，或者</w:t>
      </w:r>
      <w:r>
        <w:rPr>
          <w:rFonts w:hint="eastAsia" w:ascii="仿宋_GB2312" w:hAnsi="黑体" w:eastAsia="仿宋_GB2312" w:cs="黑体"/>
          <w:bCs/>
          <w:color w:val="000000"/>
          <w:sz w:val="32"/>
          <w:szCs w:val="32"/>
        </w:rPr>
        <w:t>非法</w:t>
      </w:r>
      <w:r>
        <w:rPr>
          <w:rFonts w:hint="eastAsia" w:ascii="仿宋_GB2312" w:hAnsi="仿宋" w:eastAsia="仿宋_GB2312" w:cs="仿宋"/>
          <w:bCs/>
          <w:color w:val="000000"/>
          <w:sz w:val="32"/>
          <w:szCs w:val="32"/>
        </w:rPr>
        <w:t>开设商业服务项目的；</w:t>
      </w:r>
      <w:r>
        <w:rPr>
          <w:bCs/>
          <w:color w:val="000000"/>
        </w:rPr>
        <w:fldChar w:fldCharType="begin"/>
      </w:r>
      <w:r>
        <w:rPr>
          <w:bCs/>
          <w:color w:val="000000"/>
        </w:rPr>
        <w:instrText xml:space="preserve"> HYPERLINK "javascript:void(0);" </w:instrText>
      </w:r>
      <w:r>
        <w:rPr>
          <w:bCs/>
          <w:color w:val="000000"/>
        </w:rPr>
        <w:fldChar w:fldCharType="separate"/>
      </w:r>
      <w:r>
        <w:rPr>
          <w:bCs/>
          <w:color w:val="000000"/>
        </w:rPr>
        <w:fldChar w:fldCharType="end"/>
      </w:r>
    </w:p>
    <w:p w14:paraId="38C2BEC4">
      <w:pPr>
        <w:spacing w:line="576" w:lineRule="exact"/>
        <w:ind w:firstLine="640" w:firstLineChars="200"/>
        <w:rPr>
          <w:rFonts w:hint="eastAsia" w:ascii="仿宋_GB2312" w:hAnsi="仿宋" w:eastAsia="仿宋_GB2312" w:cs="仿宋"/>
          <w:bCs/>
          <w:color w:val="000000"/>
          <w:sz w:val="32"/>
          <w:szCs w:val="32"/>
        </w:rPr>
      </w:pPr>
      <w:r>
        <w:rPr>
          <w:rFonts w:hint="eastAsia" w:ascii="仿宋_GB2312" w:hAnsi="黑体" w:eastAsia="仿宋_GB2312" w:cs="黑体"/>
          <w:bCs/>
          <w:color w:val="000000"/>
          <w:sz w:val="32"/>
          <w:szCs w:val="32"/>
        </w:rPr>
        <w:t>（二）</w:t>
      </w:r>
      <w:r>
        <w:rPr>
          <w:rFonts w:hint="eastAsia" w:ascii="仿宋_GB2312" w:hAnsi="仿宋" w:eastAsia="仿宋_GB2312" w:cs="仿宋"/>
          <w:bCs/>
          <w:color w:val="000000"/>
          <w:sz w:val="32"/>
          <w:szCs w:val="32"/>
        </w:rPr>
        <w:t>擅自改变公园</w:t>
      </w:r>
      <w:r>
        <w:rPr>
          <w:rFonts w:hint="eastAsia" w:ascii="仿宋_GB2312" w:hAnsi="黑体" w:eastAsia="仿宋_GB2312" w:cs="黑体"/>
          <w:bCs/>
          <w:color w:val="000000"/>
          <w:sz w:val="32"/>
          <w:szCs w:val="32"/>
        </w:rPr>
        <w:t>和</w:t>
      </w:r>
      <w:r>
        <w:rPr>
          <w:rFonts w:hint="eastAsia" w:ascii="仿宋_GB2312" w:hAnsi="仿宋" w:eastAsia="仿宋_GB2312" w:cs="仿宋"/>
          <w:bCs/>
          <w:color w:val="000000"/>
          <w:sz w:val="32"/>
          <w:szCs w:val="32"/>
        </w:rPr>
        <w:t>广场功能，进行</w:t>
      </w:r>
      <w:r>
        <w:rPr>
          <w:rFonts w:hint="eastAsia" w:ascii="仿宋_GB2312" w:hAnsi="黑体" w:eastAsia="仿宋_GB2312" w:cs="黑体"/>
          <w:bCs/>
          <w:color w:val="000000"/>
          <w:sz w:val="32"/>
          <w:szCs w:val="32"/>
        </w:rPr>
        <w:t>过度</w:t>
      </w:r>
      <w:r>
        <w:rPr>
          <w:rFonts w:hint="eastAsia" w:ascii="仿宋_GB2312" w:hAnsi="仿宋" w:eastAsia="仿宋_GB2312" w:cs="仿宋"/>
          <w:bCs/>
          <w:color w:val="000000"/>
          <w:sz w:val="32"/>
          <w:szCs w:val="32"/>
        </w:rPr>
        <w:t>经营性开发的；</w:t>
      </w:r>
      <w:r>
        <w:rPr>
          <w:bCs/>
          <w:color w:val="000000"/>
        </w:rPr>
        <w:fldChar w:fldCharType="begin"/>
      </w:r>
      <w:r>
        <w:rPr>
          <w:bCs/>
          <w:color w:val="000000"/>
        </w:rPr>
        <w:instrText xml:space="preserve"> HYPERLINK "javascript:void(0);" </w:instrText>
      </w:r>
      <w:r>
        <w:rPr>
          <w:bCs/>
          <w:color w:val="000000"/>
        </w:rPr>
        <w:fldChar w:fldCharType="separate"/>
      </w:r>
      <w:r>
        <w:rPr>
          <w:bCs/>
          <w:color w:val="000000"/>
        </w:rPr>
        <w:fldChar w:fldCharType="end"/>
      </w:r>
    </w:p>
    <w:p w14:paraId="749BBF87">
      <w:pPr>
        <w:spacing w:line="576" w:lineRule="exact"/>
        <w:ind w:firstLine="640" w:firstLineChars="200"/>
        <w:rPr>
          <w:rFonts w:hint="eastAsia" w:ascii="仿宋_GB2312" w:hAnsi="仿宋" w:eastAsia="仿宋_GB2312" w:cs="仿宋"/>
          <w:bCs/>
          <w:color w:val="000000"/>
          <w:sz w:val="32"/>
          <w:szCs w:val="32"/>
        </w:rPr>
      </w:pPr>
      <w:r>
        <w:rPr>
          <w:rFonts w:hint="eastAsia" w:ascii="仿宋_GB2312" w:hAnsi="黑体" w:eastAsia="仿宋_GB2312" w:cs="黑体"/>
          <w:bCs/>
          <w:color w:val="000000"/>
          <w:sz w:val="32"/>
          <w:szCs w:val="32"/>
        </w:rPr>
        <w:t>（三）</w:t>
      </w:r>
      <w:r>
        <w:rPr>
          <w:rFonts w:hint="eastAsia" w:ascii="仿宋_GB2312" w:hAnsi="仿宋" w:eastAsia="仿宋_GB2312" w:cs="仿宋"/>
          <w:bCs/>
          <w:color w:val="000000"/>
          <w:sz w:val="32"/>
          <w:szCs w:val="32"/>
        </w:rPr>
        <w:t>将公园</w:t>
      </w:r>
      <w:r>
        <w:rPr>
          <w:rFonts w:hint="eastAsia" w:ascii="仿宋_GB2312" w:hAnsi="黑体" w:eastAsia="仿宋_GB2312" w:cs="黑体"/>
          <w:bCs/>
          <w:color w:val="000000"/>
          <w:sz w:val="32"/>
          <w:szCs w:val="32"/>
        </w:rPr>
        <w:t>和</w:t>
      </w:r>
      <w:r>
        <w:rPr>
          <w:rFonts w:hint="eastAsia" w:ascii="仿宋_GB2312" w:hAnsi="仿宋" w:eastAsia="仿宋_GB2312" w:cs="仿宋"/>
          <w:bCs/>
          <w:color w:val="000000"/>
          <w:sz w:val="32"/>
          <w:szCs w:val="32"/>
        </w:rPr>
        <w:t>广场管理用房用于经营的；</w:t>
      </w:r>
      <w:r>
        <w:rPr>
          <w:bCs/>
          <w:color w:val="000000"/>
        </w:rPr>
        <w:fldChar w:fldCharType="begin"/>
      </w:r>
      <w:r>
        <w:rPr>
          <w:bCs/>
          <w:color w:val="000000"/>
        </w:rPr>
        <w:instrText xml:space="preserve"> HYPERLINK "javascript:void(0);" </w:instrText>
      </w:r>
      <w:r>
        <w:rPr>
          <w:bCs/>
          <w:color w:val="000000"/>
        </w:rPr>
        <w:fldChar w:fldCharType="separate"/>
      </w:r>
      <w:r>
        <w:rPr>
          <w:bCs/>
          <w:color w:val="000000"/>
        </w:rPr>
        <w:fldChar w:fldCharType="end"/>
      </w:r>
    </w:p>
    <w:p w14:paraId="0EBB6CC7">
      <w:pPr>
        <w:spacing w:line="576" w:lineRule="exact"/>
        <w:ind w:firstLine="640" w:firstLineChars="200"/>
        <w:rPr>
          <w:rFonts w:hint="eastAsia" w:ascii="仿宋" w:hAnsi="仿宋" w:eastAsia="黑体" w:cs="仿宋"/>
          <w:bCs/>
          <w:color w:val="000000"/>
          <w:sz w:val="32"/>
          <w:szCs w:val="32"/>
        </w:rPr>
      </w:pPr>
      <w:r>
        <w:rPr>
          <w:rFonts w:hint="eastAsia" w:ascii="仿宋_GB2312" w:hAnsi="黑体" w:eastAsia="仿宋_GB2312" w:cs="黑体"/>
          <w:bCs/>
          <w:color w:val="000000"/>
          <w:sz w:val="32"/>
          <w:szCs w:val="32"/>
        </w:rPr>
        <w:t>（四）滥用职权、玩忽职守、徇私舞弊等</w:t>
      </w:r>
      <w:r>
        <w:rPr>
          <w:rFonts w:hint="eastAsia" w:ascii="仿宋_GB2312" w:hAnsi="仿宋" w:eastAsia="仿宋_GB2312" w:cs="仿宋"/>
          <w:bCs/>
          <w:color w:val="000000"/>
          <w:sz w:val="32"/>
          <w:szCs w:val="32"/>
        </w:rPr>
        <w:t>其他违法行为。</w:t>
      </w:r>
    </w:p>
    <w:p w14:paraId="2057703A">
      <w:pPr>
        <w:spacing w:before="312" w:beforeLines="100" w:after="312" w:afterLines="100" w:line="576" w:lineRule="exact"/>
        <w:jc w:val="center"/>
        <w:rPr>
          <w:rFonts w:ascii="仿宋" w:hAnsi="仿宋" w:eastAsia="黑体" w:cs="仿宋"/>
          <w:bCs/>
          <w:color w:val="000000"/>
          <w:sz w:val="32"/>
          <w:szCs w:val="32"/>
        </w:rPr>
      </w:pPr>
      <w:r>
        <w:rPr>
          <w:rFonts w:hint="eastAsia" w:ascii="仿宋" w:hAnsi="仿宋" w:eastAsia="黑体" w:cs="仿宋"/>
          <w:bCs/>
          <w:color w:val="000000"/>
          <w:sz w:val="32"/>
          <w:szCs w:val="32"/>
        </w:rPr>
        <w:t>第五章　附则</w:t>
      </w:r>
    </w:p>
    <w:p w14:paraId="0C23BD03">
      <w:pPr>
        <w:spacing w:line="576" w:lineRule="exact"/>
        <w:ind w:firstLine="640" w:firstLineChars="200"/>
        <w:rPr>
          <w:rFonts w:hint="eastAsia" w:ascii="仿宋_GB2312" w:hAnsi="黑体" w:eastAsia="仿宋_GB2312" w:cs="黑体"/>
          <w:bCs/>
          <w:color w:val="000000"/>
          <w:kern w:val="0"/>
          <w:sz w:val="32"/>
          <w:szCs w:val="32"/>
        </w:rPr>
      </w:pPr>
      <w:r>
        <w:rPr>
          <w:rFonts w:hint="eastAsia" w:ascii="仿宋" w:hAnsi="仿宋" w:eastAsia="黑体" w:cs="仿宋"/>
          <w:bCs/>
          <w:color w:val="000000"/>
          <w:sz w:val="32"/>
          <w:szCs w:val="32"/>
        </w:rPr>
        <w:t>第三十三条</w:t>
      </w:r>
      <w:r>
        <w:rPr>
          <w:rFonts w:hint="eastAsia" w:ascii="仿宋" w:hAnsi="仿宋" w:eastAsia="黑体" w:cs="仿宋"/>
          <w:bCs/>
          <w:color w:val="000000"/>
          <w:kern w:val="0"/>
          <w:sz w:val="32"/>
          <w:szCs w:val="32"/>
        </w:rPr>
        <w:t>　</w:t>
      </w:r>
      <w:r>
        <w:rPr>
          <w:rFonts w:hint="eastAsia" w:ascii="仿宋_GB2312" w:hAnsi="黑体" w:eastAsia="仿宋_GB2312" w:cs="黑体"/>
          <w:bCs/>
          <w:color w:val="000000"/>
          <w:kern w:val="0"/>
          <w:sz w:val="32"/>
          <w:szCs w:val="32"/>
        </w:rPr>
        <w:t>本条例所称城区，是指松原市实际开发建设、市政公用设施基本具备的城市建成区，不包括</w:t>
      </w:r>
      <w:r>
        <w:rPr>
          <w:rFonts w:hint="eastAsia" w:ascii="仿宋_GB2312" w:hAnsi="黑体" w:eastAsia="仿宋_GB2312" w:cs="黑体"/>
          <w:bCs/>
          <w:color w:val="000000"/>
          <w:sz w:val="32"/>
          <w:szCs w:val="32"/>
        </w:rPr>
        <w:t>县（市）、开发区（园区）。</w:t>
      </w:r>
    </w:p>
    <w:p w14:paraId="58A6BC71">
      <w:pPr>
        <w:spacing w:line="576" w:lineRule="exact"/>
        <w:ind w:firstLine="640" w:firstLineChars="200"/>
        <w:rPr>
          <w:rFonts w:hint="eastAsia" w:ascii="仿宋_GB2312" w:hAnsi="仿宋" w:eastAsia="仿宋_GB2312" w:cs="仿宋"/>
          <w:bCs/>
          <w:color w:val="000000"/>
          <w:sz w:val="32"/>
          <w:szCs w:val="32"/>
        </w:rPr>
      </w:pPr>
      <w:r>
        <w:rPr>
          <w:rFonts w:hint="eastAsia" w:ascii="仿宋_GB2312" w:eastAsia="仿宋_GB2312"/>
          <w:bCs/>
          <w:color w:val="000000"/>
          <w:sz w:val="32"/>
          <w:szCs w:val="32"/>
        </w:rPr>
        <w:t>各县（市）、开发区（园区）城市建成区范围内公园和广场的管理，可以参照本条例执行。</w:t>
      </w:r>
    </w:p>
    <w:p w14:paraId="339068C3">
      <w:pPr>
        <w:spacing w:line="576" w:lineRule="exact"/>
        <w:ind w:firstLine="640" w:firstLineChars="200"/>
        <w:rPr>
          <w:rFonts w:ascii="仿宋" w:hAnsi="仿宋" w:eastAsia="仿宋_GB2312" w:cs="仿宋"/>
          <w:color w:val="000000"/>
          <w:kern w:val="0"/>
          <w:sz w:val="32"/>
          <w:szCs w:val="32"/>
          <w:shd w:val="clear" w:color="auto" w:fill="FFFFFF"/>
        </w:rPr>
      </w:pPr>
      <w:r>
        <w:rPr>
          <w:rFonts w:hint="eastAsia" w:ascii="仿宋" w:hAnsi="仿宋" w:eastAsia="黑体" w:cs="仿宋"/>
          <w:bCs/>
          <w:color w:val="000000"/>
          <w:sz w:val="32"/>
          <w:szCs w:val="32"/>
        </w:rPr>
        <w:t>第三十四条</w:t>
      </w:r>
      <w:r>
        <w:rPr>
          <w:rFonts w:hint="eastAsia" w:ascii="仿宋" w:hAnsi="仿宋" w:eastAsia="黑体" w:cs="仿宋"/>
          <w:bCs/>
          <w:color w:val="000000"/>
          <w:kern w:val="0"/>
          <w:sz w:val="32"/>
          <w:szCs w:val="32"/>
        </w:rPr>
        <w:t>　</w:t>
      </w:r>
      <w:r>
        <w:rPr>
          <w:rFonts w:hint="eastAsia" w:ascii="仿宋" w:hAnsi="仿宋" w:eastAsia="仿宋_GB2312" w:cs="仿宋"/>
          <w:bCs/>
          <w:color w:val="000000"/>
          <w:kern w:val="0"/>
          <w:sz w:val="32"/>
          <w:szCs w:val="32"/>
        </w:rPr>
        <w:t>本条例自公布之日起施行。</w:t>
      </w:r>
    </w:p>
    <w:p w14:paraId="0DE1F7F1">
      <w:pPr>
        <w:pStyle w:val="9"/>
        <w:spacing w:before="0" w:beforeAutospacing="0" w:after="0" w:afterAutospacing="0" w:line="576" w:lineRule="exact"/>
        <w:jc w:val="both"/>
        <w:rPr>
          <w:rFonts w:hint="default" w:ascii="Times New Roman" w:hAnsi="Times New Roman" w:cs="Times New Roman"/>
          <w:color w:val="000000" w:themeColor="text1"/>
          <w:sz w:val="32"/>
          <w:shd w:val="clear" w:color="auto" w:fill="FFFFFF"/>
          <w14:textFill>
            <w14:solidFill>
              <w14:schemeClr w14:val="tx1"/>
            </w14:solidFill>
          </w14:textFill>
        </w:rPr>
      </w:pPr>
    </w:p>
    <w:sectPr>
      <w:footerReference r:id="rId5" w:type="default"/>
      <w:pgSz w:w="11906" w:h="16838"/>
      <w:pgMar w:top="2098" w:right="1531" w:bottom="1985" w:left="1531" w:header="851" w:footer="992" w:gutter="0"/>
      <w:pgNumType w:fmt="decimal" w:start="1"/>
      <w:cols w:space="425" w:num="1"/>
      <w:docGrid w:type="lines" w:linePitch="435"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等线">
    <w:panose1 w:val="02010600030101010101"/>
    <w:charset w:val="86"/>
    <w:family w:val="auto"/>
    <w:pitch w:val="default"/>
    <w:sig w:usb0="A00002BF" w:usb1="38CF7CFA" w:usb2="00000016" w:usb3="00000000" w:csb0="0004000F"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CCA2F0">
    <w:pPr>
      <w:pStyle w:val="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04ABDBB">
                          <w:pPr>
                            <w:pStyle w:val="7"/>
                            <w:rPr>
                              <w:sz w:val="28"/>
                              <w:szCs w:val="28"/>
                            </w:rPr>
                          </w:pPr>
                          <w:r>
                            <w:rPr>
                              <w:sz w:val="28"/>
                              <w:szCs w:val="28"/>
                            </w:rPr>
                            <w:fldChar w:fldCharType="begin"/>
                          </w:r>
                          <w:r>
                            <w:rPr>
                              <w:sz w:val="28"/>
                              <w:szCs w:val="28"/>
                            </w:rPr>
                            <w:instrText xml:space="preserve"> PAGE  \* MERGEFORMAT </w:instrText>
                          </w:r>
                          <w:r>
                            <w:rPr>
                              <w:sz w:val="28"/>
                              <w:szCs w:val="28"/>
                            </w:rPr>
                            <w:fldChar w:fldCharType="separate"/>
                          </w:r>
                          <w:r>
                            <w:rPr>
                              <w:sz w:val="28"/>
                              <w:szCs w:val="28"/>
                            </w:rPr>
                            <w:t>- 8 -</w:t>
                          </w:r>
                          <w:r>
                            <w:rPr>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604ABDBB">
                    <w:pPr>
                      <w:pStyle w:val="7"/>
                      <w:rPr>
                        <w:sz w:val="28"/>
                        <w:szCs w:val="28"/>
                      </w:rPr>
                    </w:pPr>
                    <w:r>
                      <w:rPr>
                        <w:sz w:val="28"/>
                        <w:szCs w:val="28"/>
                      </w:rPr>
                      <w:fldChar w:fldCharType="begin"/>
                    </w:r>
                    <w:r>
                      <w:rPr>
                        <w:sz w:val="28"/>
                        <w:szCs w:val="28"/>
                      </w:rPr>
                      <w:instrText xml:space="preserve"> PAGE  \* MERGEFORMAT </w:instrText>
                    </w:r>
                    <w:r>
                      <w:rPr>
                        <w:sz w:val="28"/>
                        <w:szCs w:val="28"/>
                      </w:rPr>
                      <w:fldChar w:fldCharType="separate"/>
                    </w:r>
                    <w:r>
                      <w:rPr>
                        <w:sz w:val="28"/>
                        <w:szCs w:val="28"/>
                      </w:rPr>
                      <w:t>- 8 -</w:t>
                    </w:r>
                    <w:r>
                      <w:rPr>
                        <w:sz w:val="28"/>
                        <w:szCs w:val="28"/>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HorizontalSpacing w:val="160"/>
  <w:drawingGridVerticalSpacing w:val="435"/>
  <w:displayHorizontalDrawingGridEvery w:val="2"/>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773C0"/>
    <w:rsid w:val="00005A91"/>
    <w:rsid w:val="00005AE6"/>
    <w:rsid w:val="0002645A"/>
    <w:rsid w:val="00046E91"/>
    <w:rsid w:val="00051C65"/>
    <w:rsid w:val="00062BDC"/>
    <w:rsid w:val="00065F2A"/>
    <w:rsid w:val="000934D9"/>
    <w:rsid w:val="000A355E"/>
    <w:rsid w:val="000B3243"/>
    <w:rsid w:val="000B56E7"/>
    <w:rsid w:val="000C6958"/>
    <w:rsid w:val="000D2E47"/>
    <w:rsid w:val="000E1119"/>
    <w:rsid w:val="000E1342"/>
    <w:rsid w:val="000E2937"/>
    <w:rsid w:val="000F45B0"/>
    <w:rsid w:val="00106759"/>
    <w:rsid w:val="001231B4"/>
    <w:rsid w:val="00131435"/>
    <w:rsid w:val="00144FD8"/>
    <w:rsid w:val="0014624E"/>
    <w:rsid w:val="00160C3E"/>
    <w:rsid w:val="00182FF3"/>
    <w:rsid w:val="00187813"/>
    <w:rsid w:val="00190594"/>
    <w:rsid w:val="001972A5"/>
    <w:rsid w:val="001A07E4"/>
    <w:rsid w:val="001D63BB"/>
    <w:rsid w:val="001E1D12"/>
    <w:rsid w:val="001E3390"/>
    <w:rsid w:val="001E540F"/>
    <w:rsid w:val="00203446"/>
    <w:rsid w:val="0021021B"/>
    <w:rsid w:val="00223E95"/>
    <w:rsid w:val="002452DB"/>
    <w:rsid w:val="00246953"/>
    <w:rsid w:val="0025006A"/>
    <w:rsid w:val="00255931"/>
    <w:rsid w:val="002853DE"/>
    <w:rsid w:val="00296069"/>
    <w:rsid w:val="00296841"/>
    <w:rsid w:val="002A1556"/>
    <w:rsid w:val="002A6D3D"/>
    <w:rsid w:val="002D1265"/>
    <w:rsid w:val="002D189D"/>
    <w:rsid w:val="002D6CAB"/>
    <w:rsid w:val="002D7823"/>
    <w:rsid w:val="002E59A3"/>
    <w:rsid w:val="002F163E"/>
    <w:rsid w:val="002F1CCF"/>
    <w:rsid w:val="00303DAC"/>
    <w:rsid w:val="003049E0"/>
    <w:rsid w:val="00313A93"/>
    <w:rsid w:val="003310AB"/>
    <w:rsid w:val="00334F51"/>
    <w:rsid w:val="0034551A"/>
    <w:rsid w:val="00350795"/>
    <w:rsid w:val="003578AC"/>
    <w:rsid w:val="003727E0"/>
    <w:rsid w:val="00384CD9"/>
    <w:rsid w:val="00387A4A"/>
    <w:rsid w:val="003A36C8"/>
    <w:rsid w:val="003B62C8"/>
    <w:rsid w:val="003E0AB7"/>
    <w:rsid w:val="003E5360"/>
    <w:rsid w:val="003E5B52"/>
    <w:rsid w:val="003F4DF2"/>
    <w:rsid w:val="004014F4"/>
    <w:rsid w:val="00403C11"/>
    <w:rsid w:val="004067C3"/>
    <w:rsid w:val="004177AF"/>
    <w:rsid w:val="004360BD"/>
    <w:rsid w:val="00442335"/>
    <w:rsid w:val="00445F16"/>
    <w:rsid w:val="004546A4"/>
    <w:rsid w:val="00476157"/>
    <w:rsid w:val="00483A45"/>
    <w:rsid w:val="004A5EC2"/>
    <w:rsid w:val="004A7E03"/>
    <w:rsid w:val="004C40F0"/>
    <w:rsid w:val="004D4CA2"/>
    <w:rsid w:val="004E0332"/>
    <w:rsid w:val="004E5A43"/>
    <w:rsid w:val="004F08F7"/>
    <w:rsid w:val="00502329"/>
    <w:rsid w:val="0050692D"/>
    <w:rsid w:val="005132E9"/>
    <w:rsid w:val="00514AEC"/>
    <w:rsid w:val="00534534"/>
    <w:rsid w:val="00537DA6"/>
    <w:rsid w:val="00547748"/>
    <w:rsid w:val="00554165"/>
    <w:rsid w:val="0059006E"/>
    <w:rsid w:val="005A4173"/>
    <w:rsid w:val="005F417D"/>
    <w:rsid w:val="00601E61"/>
    <w:rsid w:val="006163AD"/>
    <w:rsid w:val="00631DFC"/>
    <w:rsid w:val="00640BCA"/>
    <w:rsid w:val="00661DCA"/>
    <w:rsid w:val="00671B0D"/>
    <w:rsid w:val="00671D7F"/>
    <w:rsid w:val="00677E89"/>
    <w:rsid w:val="0068521D"/>
    <w:rsid w:val="0069131B"/>
    <w:rsid w:val="006B1478"/>
    <w:rsid w:val="006C02CA"/>
    <w:rsid w:val="006C6A7B"/>
    <w:rsid w:val="006E14D3"/>
    <w:rsid w:val="006E4723"/>
    <w:rsid w:val="006F09B8"/>
    <w:rsid w:val="006F5D00"/>
    <w:rsid w:val="0071772F"/>
    <w:rsid w:val="0072557F"/>
    <w:rsid w:val="00727756"/>
    <w:rsid w:val="00735C2E"/>
    <w:rsid w:val="0074297D"/>
    <w:rsid w:val="007458FC"/>
    <w:rsid w:val="00753E50"/>
    <w:rsid w:val="007735EE"/>
    <w:rsid w:val="00774512"/>
    <w:rsid w:val="0077481E"/>
    <w:rsid w:val="00784254"/>
    <w:rsid w:val="00794F70"/>
    <w:rsid w:val="007A526C"/>
    <w:rsid w:val="007B41F0"/>
    <w:rsid w:val="007B427D"/>
    <w:rsid w:val="007B4E1F"/>
    <w:rsid w:val="007B62BB"/>
    <w:rsid w:val="007B7FF0"/>
    <w:rsid w:val="007C3DE6"/>
    <w:rsid w:val="007C5895"/>
    <w:rsid w:val="007D0905"/>
    <w:rsid w:val="007F4AE1"/>
    <w:rsid w:val="007F7EF9"/>
    <w:rsid w:val="00805B0A"/>
    <w:rsid w:val="00807F18"/>
    <w:rsid w:val="00821728"/>
    <w:rsid w:val="008278F6"/>
    <w:rsid w:val="00842A73"/>
    <w:rsid w:val="008557D4"/>
    <w:rsid w:val="00866201"/>
    <w:rsid w:val="00882FF6"/>
    <w:rsid w:val="008A2EF5"/>
    <w:rsid w:val="008A50BF"/>
    <w:rsid w:val="008B3385"/>
    <w:rsid w:val="008C459D"/>
    <w:rsid w:val="008D3123"/>
    <w:rsid w:val="008E0AF3"/>
    <w:rsid w:val="008E505F"/>
    <w:rsid w:val="00906F3D"/>
    <w:rsid w:val="009161DF"/>
    <w:rsid w:val="0092663F"/>
    <w:rsid w:val="009273F8"/>
    <w:rsid w:val="00935D79"/>
    <w:rsid w:val="00945687"/>
    <w:rsid w:val="00946F6E"/>
    <w:rsid w:val="009474E7"/>
    <w:rsid w:val="009501D9"/>
    <w:rsid w:val="00951FDF"/>
    <w:rsid w:val="00955C60"/>
    <w:rsid w:val="009561D7"/>
    <w:rsid w:val="0097356C"/>
    <w:rsid w:val="0098551C"/>
    <w:rsid w:val="009970A0"/>
    <w:rsid w:val="009A31D2"/>
    <w:rsid w:val="009B5107"/>
    <w:rsid w:val="009B7AF5"/>
    <w:rsid w:val="009F698E"/>
    <w:rsid w:val="00A0111C"/>
    <w:rsid w:val="00A1305C"/>
    <w:rsid w:val="00A220A0"/>
    <w:rsid w:val="00A345EF"/>
    <w:rsid w:val="00A40391"/>
    <w:rsid w:val="00A51455"/>
    <w:rsid w:val="00A562CD"/>
    <w:rsid w:val="00A57954"/>
    <w:rsid w:val="00A65A1C"/>
    <w:rsid w:val="00A97523"/>
    <w:rsid w:val="00AA5CAB"/>
    <w:rsid w:val="00AB084C"/>
    <w:rsid w:val="00AB7FDF"/>
    <w:rsid w:val="00AC1B91"/>
    <w:rsid w:val="00AD1E76"/>
    <w:rsid w:val="00AE1B04"/>
    <w:rsid w:val="00AE3348"/>
    <w:rsid w:val="00AF7982"/>
    <w:rsid w:val="00B100F7"/>
    <w:rsid w:val="00B1546A"/>
    <w:rsid w:val="00B260D8"/>
    <w:rsid w:val="00B35321"/>
    <w:rsid w:val="00B40C09"/>
    <w:rsid w:val="00B64F21"/>
    <w:rsid w:val="00B65458"/>
    <w:rsid w:val="00B7171E"/>
    <w:rsid w:val="00B74C57"/>
    <w:rsid w:val="00B83869"/>
    <w:rsid w:val="00B83E51"/>
    <w:rsid w:val="00BA3F50"/>
    <w:rsid w:val="00BB3BE5"/>
    <w:rsid w:val="00BD4A8A"/>
    <w:rsid w:val="00BE7003"/>
    <w:rsid w:val="00C02B8F"/>
    <w:rsid w:val="00C03C56"/>
    <w:rsid w:val="00C07812"/>
    <w:rsid w:val="00C1010F"/>
    <w:rsid w:val="00C26289"/>
    <w:rsid w:val="00C3606D"/>
    <w:rsid w:val="00C428FC"/>
    <w:rsid w:val="00C659FC"/>
    <w:rsid w:val="00C67812"/>
    <w:rsid w:val="00C778AA"/>
    <w:rsid w:val="00C96312"/>
    <w:rsid w:val="00CA2320"/>
    <w:rsid w:val="00CA2667"/>
    <w:rsid w:val="00CA6E8B"/>
    <w:rsid w:val="00CB4C99"/>
    <w:rsid w:val="00CC56D4"/>
    <w:rsid w:val="00CD1B45"/>
    <w:rsid w:val="00CD1F61"/>
    <w:rsid w:val="00CD6BED"/>
    <w:rsid w:val="00CE5E17"/>
    <w:rsid w:val="00CF593F"/>
    <w:rsid w:val="00D16590"/>
    <w:rsid w:val="00D528E1"/>
    <w:rsid w:val="00D568D0"/>
    <w:rsid w:val="00D60AE6"/>
    <w:rsid w:val="00D667CA"/>
    <w:rsid w:val="00D71B57"/>
    <w:rsid w:val="00D823C8"/>
    <w:rsid w:val="00D92664"/>
    <w:rsid w:val="00D9590F"/>
    <w:rsid w:val="00DA11C8"/>
    <w:rsid w:val="00DA399B"/>
    <w:rsid w:val="00DA4725"/>
    <w:rsid w:val="00DA68AF"/>
    <w:rsid w:val="00DB3BAF"/>
    <w:rsid w:val="00DE17B5"/>
    <w:rsid w:val="00DF12C3"/>
    <w:rsid w:val="00E046B6"/>
    <w:rsid w:val="00E11F82"/>
    <w:rsid w:val="00E15858"/>
    <w:rsid w:val="00E46BFB"/>
    <w:rsid w:val="00E561B6"/>
    <w:rsid w:val="00E675F0"/>
    <w:rsid w:val="00E71F5E"/>
    <w:rsid w:val="00E73028"/>
    <w:rsid w:val="00E73522"/>
    <w:rsid w:val="00E877AF"/>
    <w:rsid w:val="00E936CD"/>
    <w:rsid w:val="00E94A60"/>
    <w:rsid w:val="00E94FDC"/>
    <w:rsid w:val="00E96E62"/>
    <w:rsid w:val="00EB365B"/>
    <w:rsid w:val="00EB6F0B"/>
    <w:rsid w:val="00EC1440"/>
    <w:rsid w:val="00EC22BE"/>
    <w:rsid w:val="00EC7FE5"/>
    <w:rsid w:val="00ED7DD6"/>
    <w:rsid w:val="00EE6B51"/>
    <w:rsid w:val="00EE6ECC"/>
    <w:rsid w:val="00EE6FFD"/>
    <w:rsid w:val="00EF2AAA"/>
    <w:rsid w:val="00F04E17"/>
    <w:rsid w:val="00F34DFC"/>
    <w:rsid w:val="00F374E2"/>
    <w:rsid w:val="00F5035F"/>
    <w:rsid w:val="00F551AA"/>
    <w:rsid w:val="00F6662C"/>
    <w:rsid w:val="00F732BB"/>
    <w:rsid w:val="00F773C0"/>
    <w:rsid w:val="00F960CB"/>
    <w:rsid w:val="00FB5EE1"/>
    <w:rsid w:val="00FB6EE7"/>
    <w:rsid w:val="00FC1B50"/>
    <w:rsid w:val="00FC57D1"/>
    <w:rsid w:val="00FD5799"/>
    <w:rsid w:val="00FF4B46"/>
    <w:rsid w:val="00FF4E9A"/>
    <w:rsid w:val="014E5CA1"/>
    <w:rsid w:val="015716E2"/>
    <w:rsid w:val="036E5191"/>
    <w:rsid w:val="04B23795"/>
    <w:rsid w:val="05CC577C"/>
    <w:rsid w:val="068E03C0"/>
    <w:rsid w:val="06AF7F5A"/>
    <w:rsid w:val="06B476D8"/>
    <w:rsid w:val="07053A2E"/>
    <w:rsid w:val="07C84BB6"/>
    <w:rsid w:val="07E4111E"/>
    <w:rsid w:val="083F5E5D"/>
    <w:rsid w:val="09E674A5"/>
    <w:rsid w:val="09F33FE9"/>
    <w:rsid w:val="0C110427"/>
    <w:rsid w:val="0D3052C1"/>
    <w:rsid w:val="0D343A7A"/>
    <w:rsid w:val="0D9252AD"/>
    <w:rsid w:val="0E4B40D1"/>
    <w:rsid w:val="10B076B9"/>
    <w:rsid w:val="135F675D"/>
    <w:rsid w:val="136529F4"/>
    <w:rsid w:val="136E664B"/>
    <w:rsid w:val="14495BA9"/>
    <w:rsid w:val="172149EA"/>
    <w:rsid w:val="17CF4207"/>
    <w:rsid w:val="18AC5EDC"/>
    <w:rsid w:val="1B8E2AE9"/>
    <w:rsid w:val="1BDC6396"/>
    <w:rsid w:val="1C772165"/>
    <w:rsid w:val="1D05704F"/>
    <w:rsid w:val="1DF94015"/>
    <w:rsid w:val="1E6E7223"/>
    <w:rsid w:val="1F712662"/>
    <w:rsid w:val="1FE22280"/>
    <w:rsid w:val="203F5158"/>
    <w:rsid w:val="21067131"/>
    <w:rsid w:val="22024E2D"/>
    <w:rsid w:val="221A44B5"/>
    <w:rsid w:val="223967FD"/>
    <w:rsid w:val="226509A6"/>
    <w:rsid w:val="2321183E"/>
    <w:rsid w:val="242128C3"/>
    <w:rsid w:val="25670338"/>
    <w:rsid w:val="2622029E"/>
    <w:rsid w:val="26505D8F"/>
    <w:rsid w:val="2781071B"/>
    <w:rsid w:val="29944179"/>
    <w:rsid w:val="2A442C96"/>
    <w:rsid w:val="2AA43031"/>
    <w:rsid w:val="2B5A34F1"/>
    <w:rsid w:val="2B691E6F"/>
    <w:rsid w:val="2CFA0719"/>
    <w:rsid w:val="2E2E270F"/>
    <w:rsid w:val="2F866E22"/>
    <w:rsid w:val="2FA752BA"/>
    <w:rsid w:val="31070930"/>
    <w:rsid w:val="31722805"/>
    <w:rsid w:val="318E050C"/>
    <w:rsid w:val="31B46EAE"/>
    <w:rsid w:val="31C02CAA"/>
    <w:rsid w:val="324E3DCB"/>
    <w:rsid w:val="328B0A10"/>
    <w:rsid w:val="33DE0D5D"/>
    <w:rsid w:val="355005F4"/>
    <w:rsid w:val="37077B41"/>
    <w:rsid w:val="37B71184"/>
    <w:rsid w:val="394F7F8A"/>
    <w:rsid w:val="39C61850"/>
    <w:rsid w:val="39F57807"/>
    <w:rsid w:val="3B442064"/>
    <w:rsid w:val="3CA81B09"/>
    <w:rsid w:val="40495B02"/>
    <w:rsid w:val="41671AC3"/>
    <w:rsid w:val="422E1E4D"/>
    <w:rsid w:val="42451B8C"/>
    <w:rsid w:val="429329BC"/>
    <w:rsid w:val="45BC298F"/>
    <w:rsid w:val="465B76C4"/>
    <w:rsid w:val="46D172B4"/>
    <w:rsid w:val="48AA2F80"/>
    <w:rsid w:val="48B1532F"/>
    <w:rsid w:val="49492BA3"/>
    <w:rsid w:val="4A1B5990"/>
    <w:rsid w:val="4C302078"/>
    <w:rsid w:val="4C5903B8"/>
    <w:rsid w:val="4D5E6299"/>
    <w:rsid w:val="4D7D5B23"/>
    <w:rsid w:val="4E0D5E58"/>
    <w:rsid w:val="504E0528"/>
    <w:rsid w:val="5065404E"/>
    <w:rsid w:val="5097777B"/>
    <w:rsid w:val="513F7698"/>
    <w:rsid w:val="51416FC6"/>
    <w:rsid w:val="517112EE"/>
    <w:rsid w:val="5267039E"/>
    <w:rsid w:val="52B900E3"/>
    <w:rsid w:val="52C82018"/>
    <w:rsid w:val="537866B2"/>
    <w:rsid w:val="53C10899"/>
    <w:rsid w:val="54227FBE"/>
    <w:rsid w:val="54386D28"/>
    <w:rsid w:val="55264F04"/>
    <w:rsid w:val="55CC4789"/>
    <w:rsid w:val="563E766D"/>
    <w:rsid w:val="566D252F"/>
    <w:rsid w:val="56885283"/>
    <w:rsid w:val="56920283"/>
    <w:rsid w:val="585C393C"/>
    <w:rsid w:val="58931F02"/>
    <w:rsid w:val="59267C12"/>
    <w:rsid w:val="5BAE1010"/>
    <w:rsid w:val="5CB85EC3"/>
    <w:rsid w:val="5D9B5922"/>
    <w:rsid w:val="5E622B78"/>
    <w:rsid w:val="5E870BEC"/>
    <w:rsid w:val="601A4C03"/>
    <w:rsid w:val="61057642"/>
    <w:rsid w:val="615E5F39"/>
    <w:rsid w:val="61C9299F"/>
    <w:rsid w:val="644229C8"/>
    <w:rsid w:val="659C1F06"/>
    <w:rsid w:val="671D5E4D"/>
    <w:rsid w:val="676A5216"/>
    <w:rsid w:val="67DC54C6"/>
    <w:rsid w:val="686D5174"/>
    <w:rsid w:val="68FB4081"/>
    <w:rsid w:val="69867D2A"/>
    <w:rsid w:val="6AA14D5D"/>
    <w:rsid w:val="6AC32813"/>
    <w:rsid w:val="6B1E2983"/>
    <w:rsid w:val="6BB04AD3"/>
    <w:rsid w:val="6C4834A7"/>
    <w:rsid w:val="6C697B24"/>
    <w:rsid w:val="6CEC7B51"/>
    <w:rsid w:val="6D102BA1"/>
    <w:rsid w:val="6D9F243B"/>
    <w:rsid w:val="6FBF7AE9"/>
    <w:rsid w:val="71A57D00"/>
    <w:rsid w:val="71BF08B8"/>
    <w:rsid w:val="71C91E9F"/>
    <w:rsid w:val="71CA5FFD"/>
    <w:rsid w:val="727402C3"/>
    <w:rsid w:val="730A5246"/>
    <w:rsid w:val="73AF5D42"/>
    <w:rsid w:val="74EF16D9"/>
    <w:rsid w:val="75AA3DF2"/>
    <w:rsid w:val="75C43F89"/>
    <w:rsid w:val="75CE1438"/>
    <w:rsid w:val="76F57283"/>
    <w:rsid w:val="77F22B81"/>
    <w:rsid w:val="781F6F7D"/>
    <w:rsid w:val="78C30E42"/>
    <w:rsid w:val="7A6D4CE0"/>
    <w:rsid w:val="7B227210"/>
    <w:rsid w:val="7B270504"/>
    <w:rsid w:val="7BB77AAB"/>
    <w:rsid w:val="7C9C1CC7"/>
    <w:rsid w:val="7CE36119"/>
    <w:rsid w:val="7D535B2D"/>
    <w:rsid w:val="7E59341B"/>
    <w:rsid w:val="7EC237C1"/>
    <w:rsid w:val="7ED45684"/>
    <w:rsid w:val="7F0954B3"/>
    <w:rsid w:val="7F96406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620" w:lineRule="exact"/>
      <w:jc w:val="both"/>
    </w:pPr>
    <w:rPr>
      <w:rFonts w:ascii="仿宋_GB2312" w:hAnsi="仿宋_GB2312" w:eastAsia="仿宋_GB2312" w:cs="仿宋_GB2312"/>
      <w:kern w:val="2"/>
      <w:sz w:val="32"/>
      <w:szCs w:val="32"/>
      <w:lang w:val="en-US" w:eastAsia="zh-CN" w:bidi="ar-SA"/>
    </w:rPr>
  </w:style>
  <w:style w:type="paragraph" w:styleId="2">
    <w:name w:val="heading 2"/>
    <w:basedOn w:val="1"/>
    <w:next w:val="1"/>
    <w:unhideWhenUsed/>
    <w:qFormat/>
    <w:uiPriority w:val="0"/>
    <w:pPr>
      <w:spacing w:before="100" w:beforeAutospacing="1" w:after="100" w:afterAutospacing="1"/>
      <w:jc w:val="left"/>
      <w:outlineLvl w:val="1"/>
    </w:pPr>
    <w:rPr>
      <w:rFonts w:hint="eastAsia" w:ascii="宋体" w:hAnsi="宋体" w:eastAsia="宋体" w:cs="Times New Roman"/>
      <w:b/>
      <w:bCs/>
      <w:kern w:val="0"/>
      <w:sz w:val="36"/>
      <w:szCs w:val="36"/>
    </w:rPr>
  </w:style>
  <w:style w:type="paragraph" w:styleId="3">
    <w:name w:val="heading 3"/>
    <w:basedOn w:val="1"/>
    <w:next w:val="1"/>
    <w:unhideWhenUsed/>
    <w:qFormat/>
    <w:uiPriority w:val="0"/>
    <w:pPr>
      <w:spacing w:before="100" w:beforeAutospacing="1" w:after="100" w:afterAutospacing="1"/>
      <w:jc w:val="left"/>
      <w:outlineLvl w:val="2"/>
    </w:pPr>
    <w:rPr>
      <w:rFonts w:hint="eastAsia" w:ascii="宋体" w:hAnsi="宋体" w:eastAsia="宋体" w:cs="Times New Roman"/>
      <w:b/>
      <w:bCs/>
      <w:kern w:val="0"/>
      <w:sz w:val="27"/>
      <w:szCs w:val="27"/>
    </w:rPr>
  </w:style>
  <w:style w:type="paragraph" w:styleId="4">
    <w:name w:val="heading 4"/>
    <w:basedOn w:val="1"/>
    <w:next w:val="1"/>
    <w:unhideWhenUsed/>
    <w:qFormat/>
    <w:uiPriority w:val="0"/>
    <w:pPr>
      <w:keepNext/>
      <w:keepLines/>
      <w:spacing w:before="280" w:after="290" w:line="372" w:lineRule="auto"/>
      <w:outlineLvl w:val="3"/>
    </w:pPr>
    <w:rPr>
      <w:rFonts w:ascii="Arial" w:hAnsi="Arial" w:eastAsia="黑体"/>
      <w:b/>
      <w:sz w:val="28"/>
    </w:rPr>
  </w:style>
  <w:style w:type="character" w:default="1" w:styleId="12">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5">
    <w:name w:val="annotation text"/>
    <w:basedOn w:val="1"/>
    <w:link w:val="17"/>
    <w:qFormat/>
    <w:uiPriority w:val="0"/>
    <w:pPr>
      <w:jc w:val="left"/>
    </w:pPr>
  </w:style>
  <w:style w:type="paragraph" w:styleId="6">
    <w:name w:val="Balloon Text"/>
    <w:basedOn w:val="1"/>
    <w:link w:val="16"/>
    <w:qFormat/>
    <w:uiPriority w:val="0"/>
    <w:pPr>
      <w:spacing w:line="240" w:lineRule="auto"/>
    </w:pPr>
    <w:rPr>
      <w:sz w:val="18"/>
      <w:szCs w:val="18"/>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pPr>
    <w:rPr>
      <w:sz w:val="18"/>
    </w:rPr>
  </w:style>
  <w:style w:type="paragraph" w:styleId="9">
    <w:name w:val="Normal (Web)"/>
    <w:basedOn w:val="1"/>
    <w:qFormat/>
    <w:uiPriority w:val="0"/>
    <w:pPr>
      <w:spacing w:before="100" w:beforeAutospacing="1" w:after="100" w:afterAutospacing="1"/>
      <w:jc w:val="left"/>
    </w:pPr>
    <w:rPr>
      <w:rFonts w:cs="Times New Roman"/>
      <w:kern w:val="0"/>
      <w:sz w:val="24"/>
    </w:rPr>
  </w:style>
  <w:style w:type="paragraph" w:styleId="10">
    <w:name w:val="annotation subject"/>
    <w:basedOn w:val="5"/>
    <w:next w:val="5"/>
    <w:link w:val="18"/>
    <w:qFormat/>
    <w:uiPriority w:val="0"/>
    <w:rPr>
      <w:b/>
      <w:bCs/>
    </w:rPr>
  </w:style>
  <w:style w:type="character" w:styleId="13">
    <w:name w:val="annotation reference"/>
    <w:basedOn w:val="12"/>
    <w:qFormat/>
    <w:uiPriority w:val="0"/>
    <w:rPr>
      <w:sz w:val="21"/>
      <w:szCs w:val="21"/>
    </w:rPr>
  </w:style>
  <w:style w:type="paragraph" w:customStyle="1" w:styleId="14">
    <w:name w:val="div"/>
    <w:basedOn w:val="1"/>
    <w:qFormat/>
    <w:uiPriority w:val="0"/>
    <w:pPr>
      <w:widowControl/>
      <w:spacing w:line="240" w:lineRule="auto"/>
      <w:jc w:val="left"/>
      <w:textAlignment w:val="baseline"/>
    </w:pPr>
    <w:rPr>
      <w:rFonts w:ascii="Times New Roman" w:hAnsi="Times New Roman" w:cs="Times New Roman" w:eastAsiaTheme="minorEastAsia"/>
      <w:kern w:val="0"/>
      <w:sz w:val="24"/>
      <w:szCs w:val="24"/>
    </w:rPr>
  </w:style>
  <w:style w:type="character" w:customStyle="1" w:styleId="15">
    <w:name w:val="fulltext-wrap_navtiao"/>
    <w:basedOn w:val="12"/>
    <w:qFormat/>
    <w:uiPriority w:val="0"/>
    <w:rPr>
      <w:b/>
      <w:bCs/>
    </w:rPr>
  </w:style>
  <w:style w:type="character" w:customStyle="1" w:styleId="16">
    <w:name w:val="批注框文本 Char"/>
    <w:basedOn w:val="12"/>
    <w:link w:val="6"/>
    <w:qFormat/>
    <w:uiPriority w:val="0"/>
    <w:rPr>
      <w:rFonts w:ascii="仿宋_GB2312" w:hAnsi="仿宋_GB2312" w:eastAsia="仿宋_GB2312" w:cs="仿宋_GB2312"/>
      <w:kern w:val="2"/>
      <w:sz w:val="18"/>
      <w:szCs w:val="18"/>
    </w:rPr>
  </w:style>
  <w:style w:type="character" w:customStyle="1" w:styleId="17">
    <w:name w:val="批注文字 Char"/>
    <w:basedOn w:val="12"/>
    <w:link w:val="5"/>
    <w:qFormat/>
    <w:uiPriority w:val="0"/>
    <w:rPr>
      <w:rFonts w:ascii="仿宋_GB2312" w:hAnsi="仿宋_GB2312" w:eastAsia="仿宋_GB2312" w:cs="仿宋_GB2312"/>
      <w:kern w:val="2"/>
      <w:sz w:val="32"/>
      <w:szCs w:val="32"/>
    </w:rPr>
  </w:style>
  <w:style w:type="character" w:customStyle="1" w:styleId="18">
    <w:name w:val="批注主题 Char"/>
    <w:basedOn w:val="17"/>
    <w:link w:val="10"/>
    <w:qFormat/>
    <w:uiPriority w:val="0"/>
    <w:rPr>
      <w:rFonts w:ascii="仿宋_GB2312" w:hAnsi="仿宋_GB2312" w:eastAsia="仿宋_GB2312" w:cs="仿宋_GB2312"/>
      <w:b/>
      <w:bCs/>
      <w:kern w:val="2"/>
      <w:sz w:val="32"/>
      <w:szCs w:val="32"/>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8CE0B82-C16E-4357-9BD7-452F49F83C63}">
  <ds:schemaRefs/>
</ds:datastoreItem>
</file>

<file path=docProps/app.xml><?xml version="1.0" encoding="utf-8"?>
<Properties xmlns="http://schemas.openxmlformats.org/officeDocument/2006/extended-properties" xmlns:vt="http://schemas.openxmlformats.org/officeDocument/2006/docPropsVTypes">
  <Template>Normal.dotm</Template>
  <Company>2012dnd.com</Company>
  <Pages>12</Pages>
  <Words>5284</Words>
  <Characters>5304</Characters>
  <Lines>29</Lines>
  <Paragraphs>8</Paragraphs>
  <TotalTime>1</TotalTime>
  <ScaleCrop>false</ScaleCrop>
  <LinksUpToDate>false</LinksUpToDate>
  <CharactersWithSpaces>5380</CharactersWithSpaces>
  <Application>WPS Office_12.1.0.25835_F1E327BC-269C-435d-A152-05C5408002CA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2025-10-15T06:45:00Z</dcterms:created>
  <dc:creator>Administrator</dc:creator>
  <cp:lastModifiedBy>WPS_1517288653</cp:lastModifiedBy>
  <cp:lastPrinted>2025-06-09T02:12:00Z</cp:lastPrinted>
  <dcterms:modified xsi:type="dcterms:W3CDTF">2026-08-04T05:17:54Z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2052-12.1.0.25835</vt:lpwstr>
  </property>
  <property fmtid="{D5CDD505-2E9C-101B-9397-08002B2CF9AE}" pid="3" name="KSOTemplateDocerSaveRecord">
    <vt:lpwstr>eyJoZGlkIjoiMDVhY2MyNDk1MjY2NjhiN2M0ZGMwNjkyYjgwZWQwYjgiLCJ1c2VySWQiOiIzNDIwNTY2MjMifQ==</vt:lpwstr>
  </property>
  <property fmtid="{D5CDD505-2E9C-101B-9397-08002B2CF9AE}" pid="4" name="ICV">
    <vt:lpwstr>93F4D3B9BDE94E43B10A6C894295ED84_12</vt:lpwstr>
  </property>
</Properties>
</file>