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0"/>
        <w:jc w:val="center"/>
        <w:textAlignment w:val="auto"/>
        <w:rPr>
          <w:rFonts w:hint="eastAsia" w:ascii="方正小标宋_GBK" w:hAnsi="方正小标宋_GBK" w:eastAsia="方正小标宋_GBK" w:cs="方正小标宋_GBK"/>
          <w:sz w:val="44"/>
          <w:szCs w:val="44"/>
          <w:highlight w:val="none"/>
          <w:lang w:eastAsia="zh-CN"/>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0"/>
        <w:jc w:val="center"/>
        <w:textAlignment w:val="auto"/>
        <w:rPr>
          <w:rFonts w:hint="eastAsia" w:ascii="方正小标宋_GBK" w:hAnsi="方正小标宋_GBK" w:eastAsia="方正小标宋_GBK" w:cs="方正小标宋_GBK"/>
          <w:sz w:val="44"/>
          <w:szCs w:val="44"/>
          <w:highlight w:val="none"/>
          <w:lang w:eastAsia="zh-CN"/>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0"/>
        <w:jc w:val="center"/>
        <w:textAlignment w:val="auto"/>
        <w:rPr>
          <w:rFonts w:hint="eastAsia" w:ascii="方正小标宋_GBK" w:hAnsi="方正小标宋_GBK" w:eastAsia="方正小标宋_GBK" w:cs="方正小标宋_GBK"/>
          <w:sz w:val="44"/>
          <w:szCs w:val="44"/>
          <w:highlight w:val="none"/>
          <w:lang w:eastAsia="zh-CN"/>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0"/>
        <w:jc w:val="center"/>
        <w:textAlignment w:val="auto"/>
        <w:rPr>
          <w:rFonts w:hint="eastAsia" w:ascii="方正小标宋_GBK" w:hAnsi="方正小标宋_GBK" w:eastAsia="方正小标宋_GBK" w:cs="方正小标宋_GBK"/>
          <w:sz w:val="44"/>
          <w:szCs w:val="44"/>
          <w:highlight w:val="none"/>
          <w:lang w:val="en-US" w:eastAsia="zh-CN"/>
        </w:rPr>
      </w:pPr>
      <w:r>
        <w:rPr>
          <w:rFonts w:hint="eastAsia" w:ascii="方正小标宋_GBK" w:hAnsi="方正小标宋_GBK" w:eastAsia="方正小标宋_GBK" w:cs="方正小标宋_GBK"/>
          <w:sz w:val="44"/>
          <w:szCs w:val="44"/>
          <w:highlight w:val="none"/>
          <w:lang w:eastAsia="zh-CN"/>
        </w:rPr>
        <w:t>吉林省交通运输厅</w:t>
      </w:r>
      <w:r>
        <w:rPr>
          <w:rFonts w:hint="eastAsia" w:ascii="方正小标宋_GBK" w:hAnsi="方正小标宋_GBK" w:eastAsia="方正小标宋_GBK" w:cs="方正小标宋_GBK"/>
          <w:sz w:val="44"/>
          <w:szCs w:val="44"/>
          <w:highlight w:val="none"/>
          <w:lang w:val="en-US" w:eastAsia="zh-CN"/>
        </w:rPr>
        <w:t xml:space="preserve"> 吉林省发展改革委 吉林省市场监管厅关于印发《吉林省道路运输价格管理办法》的通知</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0"/>
        <w:jc w:val="both"/>
        <w:textAlignment w:val="auto"/>
        <w:rPr>
          <w:rFonts w:hint="eastAsia" w:ascii="仿宋_GB2312" w:hAnsi="仿宋_GB2312" w:eastAsia="仿宋_GB2312" w:cs="仿宋_GB2312"/>
          <w:sz w:val="32"/>
          <w:szCs w:val="32"/>
          <w:highlight w:val="none"/>
          <w:lang w:val="en-US" w:eastAsia="zh-CN"/>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各市（州）、长白山管委会、梅河新区、各县（市、区）交通运输局、发展改革委（局）、市场监管局：</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现将省交通运输厅、省发展改革委、省市场监管厅联合制定的《吉林省道路运输价格管理办法》印发给你们，请遵照执行。</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0"/>
        <w:jc w:val="both"/>
        <w:textAlignment w:val="auto"/>
        <w:rPr>
          <w:rFonts w:hint="eastAsia" w:ascii="仿宋_GB2312" w:hAnsi="仿宋_GB2312" w:eastAsia="仿宋_GB2312" w:cs="仿宋_GB2312"/>
          <w:sz w:val="32"/>
          <w:szCs w:val="32"/>
          <w:highlight w:val="none"/>
          <w:lang w:val="en-US" w:eastAsia="zh-CN"/>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0"/>
        <w:jc w:val="both"/>
        <w:textAlignment w:val="auto"/>
        <w:rPr>
          <w:rFonts w:hint="eastAsia" w:ascii="仿宋_GB2312" w:hAnsi="仿宋_GB2312" w:eastAsia="仿宋_GB2312" w:cs="仿宋_GB2312"/>
          <w:sz w:val="32"/>
          <w:szCs w:val="32"/>
          <w:highlight w:val="none"/>
          <w:lang w:val="en-US" w:eastAsia="zh-CN"/>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right="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吉林省交通运输厅 吉林省发展改革委 吉林省市场监管厅</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5440" w:firstLineChars="17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202</w:t>
      </w:r>
      <w:r>
        <w:rPr>
          <w:rFonts w:hint="eastAsia" w:cs="仿宋_GB2312"/>
          <w:sz w:val="32"/>
          <w:szCs w:val="32"/>
          <w:highlight w:val="none"/>
          <w:lang w:val="en-US" w:eastAsia="zh-CN"/>
        </w:rPr>
        <w:t>6</w:t>
      </w:r>
      <w:r>
        <w:rPr>
          <w:rFonts w:hint="eastAsia" w:ascii="仿宋_GB2312" w:hAnsi="仿宋_GB2312" w:eastAsia="仿宋_GB2312" w:cs="仿宋_GB2312"/>
          <w:sz w:val="32"/>
          <w:szCs w:val="32"/>
          <w:highlight w:val="none"/>
          <w:lang w:val="en-US" w:eastAsia="zh-CN"/>
        </w:rPr>
        <w:t>年</w:t>
      </w:r>
      <w:r>
        <w:rPr>
          <w:rFonts w:hint="eastAsia" w:cs="仿宋_GB2312"/>
          <w:sz w:val="32"/>
          <w:szCs w:val="32"/>
          <w:highlight w:val="none"/>
          <w:lang w:val="en-US" w:eastAsia="zh-CN"/>
        </w:rPr>
        <w:t>4</w:t>
      </w:r>
      <w:r>
        <w:rPr>
          <w:rFonts w:hint="eastAsia" w:ascii="仿宋_GB2312" w:hAnsi="仿宋_GB2312" w:eastAsia="仿宋_GB2312" w:cs="仿宋_GB2312"/>
          <w:sz w:val="32"/>
          <w:szCs w:val="32"/>
          <w:highlight w:val="none"/>
          <w:lang w:val="en-US" w:eastAsia="zh-CN"/>
        </w:rPr>
        <w:t>月</w:t>
      </w:r>
      <w:r>
        <w:rPr>
          <w:rFonts w:hint="eastAsia" w:cs="仿宋_GB2312"/>
          <w:sz w:val="32"/>
          <w:szCs w:val="32"/>
          <w:highlight w:val="none"/>
          <w:lang w:val="en-US" w:eastAsia="zh-CN"/>
        </w:rPr>
        <w:t>13</w:t>
      </w:r>
      <w:r>
        <w:rPr>
          <w:rFonts w:hint="eastAsia" w:ascii="仿宋_GB2312" w:hAnsi="仿宋_GB2312" w:eastAsia="仿宋_GB2312" w:cs="仿宋_GB2312"/>
          <w:sz w:val="32"/>
          <w:szCs w:val="32"/>
          <w:highlight w:val="none"/>
          <w:lang w:val="en-US" w:eastAsia="zh-CN"/>
        </w:rPr>
        <w:t>日</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0"/>
        <w:jc w:val="both"/>
        <w:textAlignment w:val="auto"/>
        <w:rPr>
          <w:rFonts w:hint="eastAsia" w:ascii="方正小标宋_GBK" w:hAnsi="方正小标宋_GBK" w:eastAsia="方正小标宋_GBK" w:cs="方正小标宋_GBK"/>
          <w:sz w:val="44"/>
          <w:szCs w:val="44"/>
          <w:highlight w:val="none"/>
        </w:rPr>
      </w:pPr>
    </w:p>
    <w:p>
      <w:pP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br w:type="page"/>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0"/>
        <w:jc w:val="both"/>
        <w:textAlignment w:val="auto"/>
        <w:rPr>
          <w:rFonts w:hint="eastAsia" w:ascii="黑体" w:hAnsi="黑体" w:eastAsia="黑体" w:cs="黑体"/>
          <w:sz w:val="32"/>
          <w:szCs w:val="32"/>
          <w:lang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0"/>
        <w:jc w:val="center"/>
        <w:textAlignment w:val="auto"/>
        <w:rPr>
          <w:rFonts w:hint="eastAsia" w:ascii="方正小标宋_GBK" w:hAnsi="方正小标宋_GBK" w:eastAsia="方正小标宋_GBK" w:cs="方正小标宋_GBK"/>
          <w:kern w:val="0"/>
          <w:sz w:val="44"/>
          <w:szCs w:val="44"/>
          <w:highlight w:val="none"/>
          <w:lang w:val="en-US" w:eastAsia="zh-CN" w:bidi="ar"/>
        </w:rPr>
      </w:pPr>
      <w:r>
        <w:rPr>
          <w:rFonts w:hint="eastAsia" w:ascii="方正小标宋_GBK" w:hAnsi="方正小标宋_GBK" w:eastAsia="方正小标宋_GBK" w:cs="方正小标宋_GBK"/>
          <w:kern w:val="0"/>
          <w:sz w:val="44"/>
          <w:szCs w:val="44"/>
          <w:highlight w:val="none"/>
          <w:lang w:val="en-US" w:eastAsia="zh-CN" w:bidi="ar"/>
        </w:rPr>
        <w:t>吉林省道路运输价格管理办法</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0"/>
        <w:jc w:val="center"/>
        <w:textAlignment w:val="auto"/>
        <w:rPr>
          <w:rFonts w:hint="eastAsia" w:ascii="方正小标宋_GBK" w:hAnsi="方正小标宋_GBK" w:eastAsia="方正小标宋_GBK" w:cs="方正小标宋_GBK"/>
          <w:kern w:val="0"/>
          <w:sz w:val="44"/>
          <w:szCs w:val="44"/>
          <w:highlight w:val="none"/>
          <w:lang w:val="en-US" w:eastAsia="zh-CN" w:bidi="ar"/>
        </w:rPr>
      </w:pP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576" w:lineRule="exact"/>
        <w:ind w:left="0" w:right="0" w:firstLine="0"/>
        <w:jc w:val="center"/>
        <w:textAlignment w:val="auto"/>
        <w:rPr>
          <w:rFonts w:hint="eastAsia" w:ascii="黑体" w:hAnsi="黑体" w:eastAsia="黑体" w:cs="黑体"/>
          <w:kern w:val="0"/>
          <w:sz w:val="32"/>
          <w:szCs w:val="32"/>
          <w:highlight w:val="none"/>
          <w:lang w:val="en-US" w:eastAsia="zh-CN" w:bidi="ar"/>
        </w:rPr>
      </w:pPr>
      <w:r>
        <w:rPr>
          <w:rFonts w:hint="eastAsia" w:ascii="黑体" w:hAnsi="黑体" w:eastAsia="黑体" w:cs="黑体"/>
          <w:kern w:val="0"/>
          <w:sz w:val="32"/>
          <w:szCs w:val="32"/>
          <w:highlight w:val="none"/>
          <w:lang w:val="en-US" w:eastAsia="zh-CN" w:bidi="ar"/>
        </w:rPr>
        <w:t>总则</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rPr>
          <w:rFonts w:hint="eastAsia"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sz w:val="32"/>
          <w:szCs w:val="32"/>
          <w:lang w:bidi="ar"/>
        </w:rPr>
        <w:t>为深入贯彻落实</w:t>
      </w:r>
      <w:r>
        <w:rPr>
          <w:rStyle w:val="35"/>
          <w:rFonts w:hint="eastAsia" w:ascii="仿宋_GB2312" w:hAnsi="仿宋" w:eastAsia="仿宋_GB2312"/>
          <w:sz w:val="32"/>
          <w:szCs w:val="32"/>
          <w:lang w:bidi="ar"/>
        </w:rPr>
        <w:t>《中华人民共和国价格法》</w:t>
      </w:r>
      <w:r>
        <w:rPr>
          <w:rFonts w:hint="eastAsia" w:ascii="仿宋_GB2312" w:hAnsi="仿宋_GB2312" w:eastAsia="仿宋_GB2312" w:cs="仿宋_GB2312"/>
          <w:sz w:val="32"/>
          <w:szCs w:val="32"/>
          <w:lang w:bidi="ar"/>
        </w:rPr>
        <w:t>《中共中央办公厅 国务院办公厅关于加快建设统一开放的交通运输市场的意见》和《交通运输部 国家发展改革委关于深化道路运输价格改革的意见》，进一步完善道路运输价格管理方式，充分发挥市场在资源配置中的决定性作用和更好地发挥政府作用，激发道路运输市场活力，制定本办法</w:t>
      </w:r>
      <w:r>
        <w:rPr>
          <w:rFonts w:hint="eastAsia" w:ascii="仿宋_GB2312" w:hAnsi="仿宋_GB2312" w:eastAsia="仿宋_GB2312" w:cs="仿宋_GB2312"/>
          <w:kern w:val="0"/>
          <w:sz w:val="32"/>
          <w:szCs w:val="32"/>
          <w:highlight w:val="none"/>
          <w:lang w:val="en-US" w:eastAsia="zh-CN" w:bidi="ar"/>
        </w:rPr>
        <w:t>。</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rPr>
          <w:rFonts w:hint="default" w:ascii="仿宋_GB2312" w:hAnsi="仿宋_GB2312" w:eastAsia="仿宋_GB2312" w:cs="仿宋_GB2312"/>
          <w:kern w:val="0"/>
          <w:sz w:val="32"/>
          <w:szCs w:val="32"/>
          <w:highlight w:val="none"/>
          <w:lang w:val="en-US" w:eastAsia="zh-CN" w:bidi="ar"/>
        </w:rPr>
      </w:pPr>
      <w:r>
        <w:rPr>
          <w:rFonts w:hint="eastAsia" w:ascii="仿宋_GB2312" w:hAnsi="仿宋_GB2312" w:eastAsia="仿宋_GB2312" w:cs="仿宋_GB2312"/>
          <w:kern w:val="0"/>
          <w:sz w:val="32"/>
          <w:szCs w:val="32"/>
          <w:lang w:bidi="ar"/>
        </w:rPr>
        <w:t>在吉林省行政区域内参与道路运输活动以及所发生的价格行为，适用本办法</w:t>
      </w:r>
      <w:r>
        <w:rPr>
          <w:rFonts w:hint="eastAsia" w:ascii="仿宋_GB2312" w:hAnsi="仿宋_GB2312" w:eastAsia="仿宋_GB2312" w:cs="仿宋_GB2312"/>
          <w:kern w:val="0"/>
          <w:sz w:val="32"/>
          <w:szCs w:val="32"/>
          <w:highlight w:val="none"/>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6" w:lineRule="exact"/>
        <w:ind w:left="0" w:right="0" w:rightChars="0"/>
        <w:jc w:val="center"/>
        <w:textAlignment w:val="auto"/>
        <w:rPr>
          <w:rStyle w:val="35"/>
          <w:rFonts w:hint="eastAsia" w:ascii="仿宋_GB2312" w:hAnsi="仿宋" w:eastAsia="仿宋_GB2312" w:cs="Times New Roman"/>
          <w:kern w:val="0"/>
          <w:sz w:val="32"/>
          <w:szCs w:val="32"/>
          <w:highlight w:val="none"/>
          <w:lang w:val="en-US" w:eastAsia="zh-CN" w:bidi="ar"/>
        </w:rPr>
      </w:pPr>
      <w:r>
        <w:rPr>
          <w:rFonts w:hint="eastAsia" w:ascii="黑体" w:hAnsi="黑体" w:eastAsia="黑体" w:cs="黑体"/>
          <w:kern w:val="0"/>
          <w:sz w:val="32"/>
          <w:szCs w:val="32"/>
          <w:highlight w:val="none"/>
          <w:lang w:val="en-US" w:eastAsia="zh-CN" w:bidi="ar"/>
        </w:rPr>
        <w:t>第二章 道路旅客运输</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76" w:lineRule="exact"/>
        <w:ind w:left="0" w:leftChars="0" w:right="0" w:rightChars="0" w:firstLine="640" w:firstLineChars="200"/>
        <w:jc w:val="both"/>
        <w:textAlignment w:val="auto"/>
        <w:rPr>
          <w:rStyle w:val="35"/>
          <w:rFonts w:hint="eastAsia" w:ascii="仿宋_GB2312" w:hAnsi="仿宋" w:eastAsia="仿宋_GB2312"/>
          <w:sz w:val="32"/>
          <w:szCs w:val="32"/>
          <w:highlight w:val="none"/>
        </w:rPr>
      </w:pPr>
      <w:r>
        <w:rPr>
          <w:rStyle w:val="35"/>
          <w:rFonts w:hint="eastAsia" w:ascii="仿宋_GB2312" w:hAnsi="仿宋" w:eastAsia="仿宋_GB2312" w:cs="宋体"/>
          <w:bCs/>
          <w:sz w:val="32"/>
          <w:szCs w:val="32"/>
          <w:highlight w:val="none"/>
          <w:lang w:eastAsia="zh-CN"/>
        </w:rPr>
        <w:t>根据道路旅客运输市场竞争情况实行政府指导价（最高上限价格）和市场调节价两种定价方式。</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76" w:lineRule="exact"/>
        <w:ind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（一）除农村客运外，由三家及以上经营者共同经营的客运班线、与高铁平行线路等竞争充分的班车客运实行市场调节价；跨省道路客运班线终到站所在地省</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市、区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已实行市场调节价的线路实行市场调节价；定制客运服务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含预约响应式的农村客运服务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实行市场调节价；非定线旅游客运、包车客运实行市场调节价。</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76" w:lineRule="exact"/>
        <w:ind w:leftChars="0" w:firstLine="640" w:firstLineChars="200"/>
        <w:jc w:val="both"/>
        <w:textAlignment w:val="auto"/>
        <w:rPr>
          <w:rStyle w:val="35"/>
          <w:rFonts w:hint="eastAsia" w:ascii="仿宋_GB2312" w:hAnsi="仿宋" w:eastAsia="仿宋_GB2312" w:cs="宋体"/>
          <w:bCs/>
          <w:sz w:val="32"/>
          <w:szCs w:val="32"/>
        </w:rPr>
      </w:pPr>
      <w:r>
        <w:rPr>
          <w:rStyle w:val="35"/>
          <w:rFonts w:hint="eastAsia" w:ascii="仿宋_GB2312" w:hAnsi="仿宋" w:eastAsia="仿宋_GB2312" w:cs="宋体"/>
          <w:bCs/>
          <w:sz w:val="32"/>
          <w:szCs w:val="32"/>
        </w:rPr>
        <w:t>实行市场调节价的道路客运班线目录，由当地县级以上交通运输部门向社会公布。</w:t>
      </w:r>
      <w:bookmarkStart w:id="0" w:name="OLE_LINK2"/>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76" w:lineRule="exact"/>
        <w:ind w:leftChars="0" w:firstLine="640" w:firstLineChars="200"/>
        <w:jc w:val="both"/>
        <w:textAlignment w:val="auto"/>
        <w:rPr>
          <w:rStyle w:val="35"/>
          <w:rFonts w:hint="eastAsia" w:ascii="仿宋_GB2312" w:hAnsi="仿宋" w:eastAsia="仿宋_GB2312" w:cs="宋体"/>
          <w:bCs/>
          <w:sz w:val="32"/>
          <w:szCs w:val="32"/>
        </w:rPr>
      </w:pPr>
      <w:r>
        <w:rPr>
          <w:rStyle w:val="35"/>
          <w:rFonts w:hint="eastAsia" w:ascii="仿宋_GB2312" w:hAnsi="仿宋" w:eastAsia="仿宋_GB2312" w:cs="宋体"/>
          <w:bCs/>
          <w:sz w:val="32"/>
          <w:szCs w:val="32"/>
        </w:rPr>
        <w:t>（二）同一方向上运输方式单一且同业竞争不充分的班车客运，以及取得道路客运经营许可、按照固定线路运行或者实行区域经营的农村客运，实行政府指导价</w:t>
      </w:r>
      <w:bookmarkEnd w:id="0"/>
      <w:bookmarkStart w:id="1" w:name="OLE_LINK4"/>
      <w:bookmarkStart w:id="2" w:name="OLE_LINK5"/>
      <w:r>
        <w:rPr>
          <w:rStyle w:val="35"/>
          <w:rFonts w:hint="eastAsia" w:ascii="仿宋_GB2312" w:hAnsi="仿宋" w:eastAsia="仿宋_GB2312" w:cs="宋体"/>
          <w:bCs/>
          <w:sz w:val="32"/>
          <w:szCs w:val="32"/>
          <w:lang w:eastAsia="zh-CN"/>
        </w:rPr>
        <w:t>（</w:t>
      </w:r>
      <w:r>
        <w:rPr>
          <w:rStyle w:val="35"/>
          <w:rFonts w:hint="eastAsia" w:ascii="仿宋_GB2312" w:hAnsi="仿宋" w:eastAsia="仿宋_GB2312" w:cs="宋体"/>
          <w:bCs/>
          <w:sz w:val="32"/>
          <w:szCs w:val="32"/>
        </w:rPr>
        <w:t>上浮不超过道路班车客运基准价格的30%，下浮不限</w:t>
      </w:r>
      <w:bookmarkEnd w:id="1"/>
      <w:bookmarkEnd w:id="2"/>
      <w:r>
        <w:rPr>
          <w:rStyle w:val="35"/>
          <w:rFonts w:hint="eastAsia" w:ascii="仿宋_GB2312" w:hAnsi="仿宋" w:eastAsia="仿宋_GB2312" w:cs="宋体"/>
          <w:bCs/>
          <w:sz w:val="32"/>
          <w:szCs w:val="32"/>
          <w:lang w:eastAsia="zh-CN"/>
        </w:rPr>
        <w:t>）</w:t>
      </w:r>
      <w:r>
        <w:rPr>
          <w:rStyle w:val="35"/>
          <w:rFonts w:hint="eastAsia" w:ascii="仿宋_GB2312" w:hAnsi="仿宋" w:eastAsia="仿宋_GB2312" w:cs="宋体"/>
          <w:bCs/>
          <w:sz w:val="32"/>
          <w:szCs w:val="32"/>
        </w:rPr>
        <w:t>管理。</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76" w:lineRule="exact"/>
        <w:ind w:leftChars="0" w:firstLine="640" w:firstLineChars="200"/>
        <w:jc w:val="both"/>
        <w:textAlignment w:val="auto"/>
        <w:rPr>
          <w:rStyle w:val="35"/>
          <w:rFonts w:hint="eastAsia" w:ascii="仿宋_GB2312" w:hAnsi="仿宋" w:eastAsia="仿宋_GB2312"/>
          <w:sz w:val="32"/>
          <w:szCs w:val="32"/>
        </w:rPr>
      </w:pPr>
      <w:r>
        <w:rPr>
          <w:rStyle w:val="35"/>
          <w:rFonts w:hint="eastAsia" w:ascii="仿宋_GB2312" w:hAnsi="仿宋" w:eastAsia="仿宋_GB2312"/>
          <w:sz w:val="32"/>
          <w:szCs w:val="32"/>
        </w:rPr>
        <w:t>定线旅游客运、加班车客运的价格按照道路班车客运的价格规定执行。</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76" w:lineRule="exact"/>
        <w:ind w:leftChars="0" w:firstLine="640" w:firstLineChars="200"/>
        <w:jc w:val="both"/>
        <w:textAlignment w:val="auto"/>
        <w:rPr>
          <w:rFonts w:hint="eastAsia" w:ascii="宋体" w:hAnsi="宋体" w:eastAsia="仿宋_GB2312"/>
          <w:sz w:val="32"/>
        </w:rPr>
      </w:pPr>
      <w:r>
        <w:rPr>
          <w:rFonts w:hint="eastAsia" w:ascii="宋体" w:hAnsi="宋体" w:eastAsia="仿宋_GB2312"/>
          <w:sz w:val="32"/>
        </w:rPr>
        <w:t>道路客运班线</w:t>
      </w:r>
      <w:r>
        <w:rPr>
          <w:rFonts w:ascii="宋体" w:hAnsi="宋体" w:eastAsia="仿宋_GB2312"/>
          <w:sz w:val="32"/>
        </w:rPr>
        <w:t>公交化改造后的</w:t>
      </w:r>
      <w:r>
        <w:rPr>
          <w:rFonts w:hint="eastAsia" w:ascii="宋体" w:hAnsi="宋体" w:eastAsia="仿宋_GB2312"/>
          <w:sz w:val="32"/>
        </w:rPr>
        <w:t>票价参照</w:t>
      </w:r>
      <w:r>
        <w:rPr>
          <w:rFonts w:ascii="宋体" w:hAnsi="宋体" w:eastAsia="仿宋_GB2312"/>
          <w:sz w:val="32"/>
        </w:rPr>
        <w:t>道路</w:t>
      </w:r>
      <w:r>
        <w:rPr>
          <w:rFonts w:hint="eastAsia" w:ascii="宋体" w:hAnsi="宋体" w:eastAsia="仿宋_GB2312"/>
          <w:sz w:val="32"/>
        </w:rPr>
        <w:t>班车</w:t>
      </w:r>
      <w:r>
        <w:rPr>
          <w:rFonts w:ascii="宋体" w:hAnsi="宋体" w:eastAsia="仿宋_GB2312"/>
          <w:sz w:val="32"/>
        </w:rPr>
        <w:t>客运</w:t>
      </w:r>
      <w:r>
        <w:rPr>
          <w:rFonts w:hint="eastAsia" w:ascii="宋体" w:hAnsi="宋体" w:eastAsia="仿宋_GB2312"/>
          <w:sz w:val="32"/>
        </w:rPr>
        <w:t>政府指导价的定价</w:t>
      </w:r>
      <w:r>
        <w:rPr>
          <w:rFonts w:ascii="宋体" w:hAnsi="宋体" w:eastAsia="仿宋_GB2312"/>
          <w:sz w:val="32"/>
        </w:rPr>
        <w:t>机制，</w:t>
      </w:r>
      <w:r>
        <w:rPr>
          <w:rFonts w:hint="eastAsia" w:ascii="宋体" w:hAnsi="宋体" w:eastAsia="仿宋_GB2312"/>
          <w:sz w:val="32"/>
        </w:rPr>
        <w:t>合理确定票价，</w:t>
      </w:r>
      <w:r>
        <w:rPr>
          <w:rFonts w:ascii="宋体" w:hAnsi="宋体" w:eastAsia="仿宋_GB2312"/>
          <w:sz w:val="32"/>
        </w:rPr>
        <w:t>鼓励</w:t>
      </w:r>
      <w:r>
        <w:rPr>
          <w:rFonts w:hint="eastAsia" w:ascii="宋体" w:hAnsi="宋体" w:eastAsia="仿宋_GB2312"/>
          <w:sz w:val="32"/>
        </w:rPr>
        <w:t>在原道路班车客运的基础上降低票价，让利于民。</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76" w:lineRule="exact"/>
        <w:ind w:leftChars="0" w:firstLine="640" w:firstLineChars="200"/>
        <w:jc w:val="both"/>
        <w:textAlignment w:val="auto"/>
        <w:rPr>
          <w:rFonts w:hint="eastAsia" w:ascii="宋体" w:hAnsi="宋体" w:eastAsia="仿宋_GB2312"/>
          <w:sz w:val="32"/>
        </w:rPr>
      </w:pPr>
      <w:r>
        <w:rPr>
          <w:rStyle w:val="35"/>
          <w:rFonts w:hint="eastAsia" w:ascii="仿宋_GB2312" w:hAnsi="仿宋" w:eastAsia="仿宋_GB2312" w:cs="宋体"/>
          <w:bCs/>
          <w:sz w:val="32"/>
          <w:szCs w:val="32"/>
        </w:rPr>
        <w:t>属地交通运输主管部门要加强对实施政府指导价（含参照实施）客运线路价格的监测和指导，防止客运经营者无序调整价格。</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000000"/>
          <w:kern w:val="0"/>
          <w:sz w:val="32"/>
          <w:szCs w:val="32"/>
          <w:shd w:val="clear" w:color="auto" w:fill="FFFFFF"/>
          <w:lang w:bidi="ar"/>
        </w:rPr>
        <w:t>道路客运经营者应实行明码标价，公示服务项目及价格，并保持价格基本稳定</w:t>
      </w:r>
      <w:r>
        <w:rPr>
          <w:rFonts w:hint="eastAsia" w:ascii="仿宋_GB2312" w:hAnsi="仿宋_GB2312" w:eastAsia="仿宋_GB2312" w:cs="仿宋_GB2312"/>
          <w:i w:val="0"/>
          <w:iCs w:val="0"/>
          <w:caps w:val="0"/>
          <w:color w:val="000000"/>
          <w:spacing w:val="0"/>
          <w:kern w:val="0"/>
          <w:sz w:val="32"/>
          <w:szCs w:val="32"/>
          <w:highlight w:val="none"/>
          <w:shd w:val="clear" w:color="auto" w:fill="FFFFFF"/>
          <w:lang w:val="en-US" w:eastAsia="zh-CN" w:bidi="ar"/>
        </w:rPr>
        <w:t>。</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000000"/>
          <w:kern w:val="0"/>
          <w:sz w:val="32"/>
          <w:szCs w:val="32"/>
          <w:shd w:val="clear" w:color="auto" w:fill="FFFFFF"/>
          <w:lang w:bidi="ar"/>
        </w:rPr>
        <w:t>班车客运经营者调整票价时，应在执行新的票价7日前在汽车客运站、售票渠道等向社会公布；班车客运实行政府指导价的，还应在客票（含电子客票）标注或者通过售票渠道公示上限票价</w:t>
      </w:r>
      <w:r>
        <w:rPr>
          <w:rFonts w:hint="eastAsia" w:ascii="仿宋_GB2312" w:hAnsi="仿宋_GB2312" w:eastAsia="仿宋_GB2312" w:cs="仿宋_GB2312"/>
          <w:i w:val="0"/>
          <w:iCs w:val="0"/>
          <w:caps w:val="0"/>
          <w:color w:val="000000"/>
          <w:spacing w:val="0"/>
          <w:kern w:val="0"/>
          <w:sz w:val="32"/>
          <w:szCs w:val="32"/>
          <w:highlight w:val="none"/>
          <w:shd w:val="clear" w:color="auto" w:fill="FFFFFF"/>
          <w:lang w:val="en-US" w:eastAsia="zh-CN" w:bidi="ar"/>
        </w:rPr>
        <w:t>。</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000000"/>
          <w:kern w:val="0"/>
          <w:sz w:val="32"/>
          <w:szCs w:val="32"/>
          <w:shd w:val="clear" w:color="auto" w:fill="FFFFFF"/>
          <w:lang w:bidi="ar"/>
        </w:rPr>
        <w:t>汽车客运站提供的车辆基本站务服务和旅客基本站务服务收取的客运代理费、旅客站务费和退票费，实行政府指导价</w:t>
      </w:r>
      <w:r>
        <w:rPr>
          <w:rFonts w:hint="eastAsia" w:ascii="仿宋_GB2312" w:hAnsi="仿宋_GB2312" w:eastAsia="仿宋_GB2312" w:cs="仿宋_GB2312"/>
          <w:i w:val="0"/>
          <w:iCs w:val="0"/>
          <w:caps w:val="0"/>
          <w:color w:val="000000"/>
          <w:spacing w:val="0"/>
          <w:kern w:val="0"/>
          <w:sz w:val="32"/>
          <w:szCs w:val="32"/>
          <w:highlight w:val="none"/>
          <w:shd w:val="clear" w:color="auto" w:fill="FFFFFF"/>
          <w:lang w:val="en-US" w:eastAsia="zh-CN" w:bidi="ar"/>
        </w:rPr>
        <w:t>。</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eastAsia" w:ascii="仿宋_GB2312" w:hAnsi="仿宋" w:eastAsia="仿宋_GB2312"/>
          <w:sz w:val="32"/>
          <w:szCs w:val="32"/>
          <w:highlight w:val="none"/>
          <w:lang w:eastAsia="zh-CN"/>
        </w:rPr>
      </w:pPr>
      <w:r>
        <w:rPr>
          <w:rStyle w:val="35"/>
          <w:rFonts w:hint="eastAsia" w:ascii="仿宋_GB2312" w:hAnsi="仿宋" w:eastAsia="仿宋_GB2312"/>
          <w:sz w:val="32"/>
          <w:szCs w:val="32"/>
          <w:highlight w:val="none"/>
          <w:lang w:eastAsia="zh-CN"/>
        </w:rPr>
        <w:t>汽车客运站为承运人组织客流、售票、检票、发车等业务的，可收取客运代理费。计收客运代理费时应扣除旅客意外伤害保险等保障资金、车辆通行费、旅客站务费、燃油附加费及原客货附加费等相关费用。</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76" w:lineRule="exact"/>
        <w:ind w:leftChars="0" w:firstLine="640" w:firstLineChars="200"/>
        <w:jc w:val="both"/>
        <w:textAlignment w:val="auto"/>
        <w:rPr>
          <w:rStyle w:val="35"/>
          <w:rFonts w:hint="eastAsia" w:ascii="仿宋_GB2312" w:hAnsi="仿宋" w:eastAsia="仿宋_GB2312"/>
          <w:sz w:val="32"/>
          <w:szCs w:val="32"/>
          <w:highlight w:val="none"/>
          <w:lang w:eastAsia="zh-CN"/>
        </w:rPr>
      </w:pPr>
      <w:r>
        <w:rPr>
          <w:rStyle w:val="35"/>
          <w:rFonts w:hint="eastAsia" w:ascii="仿宋_GB2312" w:hAnsi="仿宋" w:eastAsia="仿宋_GB2312"/>
          <w:sz w:val="32"/>
          <w:szCs w:val="32"/>
          <w:highlight w:val="none"/>
          <w:lang w:eastAsia="zh-CN"/>
        </w:rPr>
        <w:t>客运代理费=[票价-（旅客意外伤害保障金+通行费+旅客站务费+燃油附加费+其他法定收费+0.0147×里程）]×客运代理费收取比例</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76" w:lineRule="exact"/>
        <w:ind w:leftChars="0" w:firstLine="640" w:firstLineChars="200"/>
        <w:jc w:val="both"/>
        <w:textAlignment w:val="auto"/>
        <w:rPr>
          <w:rStyle w:val="35"/>
          <w:rFonts w:hint="eastAsia" w:ascii="仿宋_GB2312" w:hAnsi="仿宋" w:eastAsia="仿宋_GB2312"/>
          <w:sz w:val="32"/>
          <w:szCs w:val="32"/>
          <w:highlight w:val="none"/>
        </w:rPr>
      </w:pPr>
      <w:r>
        <w:rPr>
          <w:rStyle w:val="35"/>
          <w:rFonts w:hint="eastAsia" w:ascii="仿宋_GB2312" w:hAnsi="仿宋" w:eastAsia="仿宋_GB2312"/>
          <w:sz w:val="32"/>
          <w:szCs w:val="32"/>
          <w:highlight w:val="none"/>
          <w:lang w:eastAsia="zh-CN"/>
        </w:rPr>
        <w:t>其中：一级站和达到一级站服务设施、服务标准的二级站客运代理费收取比例不超过10%；二级站客运代理费收取比例不超过8%；三级及以下级别的客运站客运代理费收取比例不超过6%。</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default" w:ascii="仿宋_GB2312" w:hAnsi="仿宋" w:eastAsia="仿宋_GB2312"/>
          <w:sz w:val="32"/>
          <w:szCs w:val="32"/>
          <w:highlight w:val="none"/>
          <w:lang w:val="en-US" w:eastAsia="zh-CN"/>
        </w:rPr>
      </w:pPr>
      <w:r>
        <w:rPr>
          <w:rStyle w:val="35"/>
          <w:rFonts w:hint="eastAsia" w:ascii="仿宋_GB2312" w:hAnsi="仿宋" w:eastAsia="仿宋_GB2312"/>
          <w:sz w:val="32"/>
          <w:szCs w:val="32"/>
        </w:rPr>
        <w:t>对不宜按第</w:t>
      </w:r>
      <w:r>
        <w:rPr>
          <w:rStyle w:val="35"/>
          <w:rFonts w:hint="eastAsia" w:ascii="仿宋_GB2312" w:hAnsi="仿宋" w:eastAsia="仿宋_GB2312"/>
          <w:sz w:val="32"/>
          <w:szCs w:val="32"/>
          <w:lang w:eastAsia="zh-CN"/>
        </w:rPr>
        <w:t>七</w:t>
      </w:r>
      <w:r>
        <w:rPr>
          <w:rStyle w:val="35"/>
          <w:rFonts w:hint="eastAsia" w:ascii="仿宋_GB2312" w:hAnsi="仿宋" w:eastAsia="仿宋_GB2312"/>
          <w:sz w:val="32"/>
          <w:szCs w:val="32"/>
        </w:rPr>
        <w:t>条中的收费标准收取客运代理费的客运班线，可由站、运双方协商定额收取</w:t>
      </w:r>
      <w:r>
        <w:rPr>
          <w:rStyle w:val="35"/>
          <w:rFonts w:hint="eastAsia" w:ascii="仿宋_GB2312" w:hAnsi="仿宋" w:eastAsia="仿宋_GB2312"/>
          <w:sz w:val="32"/>
          <w:szCs w:val="32"/>
          <w:highlight w:val="none"/>
        </w:rPr>
        <w:t>。</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default" w:ascii="仿宋_GB2312" w:hAnsi="仿宋" w:eastAsia="仿宋_GB2312"/>
          <w:sz w:val="32"/>
          <w:szCs w:val="32"/>
          <w:highlight w:val="none"/>
          <w:lang w:val="en-US" w:eastAsia="zh-CN"/>
        </w:rPr>
      </w:pPr>
      <w:r>
        <w:rPr>
          <w:rStyle w:val="35"/>
          <w:rFonts w:hint="eastAsia" w:ascii="仿宋_GB2312" w:hAnsi="仿宋" w:eastAsia="仿宋_GB2312"/>
          <w:sz w:val="32"/>
          <w:szCs w:val="32"/>
        </w:rPr>
        <w:t>汽车客运站为公交化改造线路提供停车、组织客流、候车、安检、充换电、检车等服务的，可在站、运双方充分协商的前提下，定额收取一定费用</w:t>
      </w:r>
      <w:r>
        <w:rPr>
          <w:rStyle w:val="35"/>
          <w:rFonts w:hint="eastAsia" w:ascii="仿宋_GB2312" w:hAnsi="仿宋" w:eastAsia="仿宋_GB2312"/>
          <w:sz w:val="32"/>
          <w:szCs w:val="32"/>
          <w:highlight w:val="none"/>
          <w:lang w:val="en-US" w:eastAsia="zh-CN"/>
        </w:rPr>
        <w:t>。</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eastAsia" w:ascii="仿宋_GB2312" w:hAnsi="仿宋" w:eastAsia="仿宋_GB2312"/>
          <w:sz w:val="32"/>
          <w:szCs w:val="32"/>
          <w:highlight w:val="none"/>
        </w:rPr>
      </w:pPr>
      <w:r>
        <w:rPr>
          <w:rStyle w:val="35"/>
          <w:rFonts w:hint="eastAsia" w:ascii="仿宋_GB2312" w:hAnsi="仿宋" w:eastAsia="仿宋_GB2312"/>
          <w:color w:val="auto"/>
          <w:sz w:val="32"/>
          <w:szCs w:val="32"/>
          <w:highlight w:val="none"/>
          <w:u w:val="none"/>
        </w:rPr>
        <w:t>客运站具备站级标准规定的设施、设备，为旅客提供候车、休息、安保、安全检查、信息等基本服务的，可按每人次在客票内向旅客收取旅客站务费,一、二级客运站每票收取最高不超过2元;三级客运站每票收取最高不超过1元</w:t>
      </w:r>
      <w:r>
        <w:rPr>
          <w:rStyle w:val="35"/>
          <w:rFonts w:hint="eastAsia" w:ascii="仿宋_GB2312" w:hAnsi="仿宋" w:eastAsia="仿宋_GB2312"/>
          <w:sz w:val="32"/>
          <w:szCs w:val="32"/>
          <w:highlight w:val="none"/>
        </w:rPr>
        <w:t>。</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eastAsia" w:ascii="仿宋_GB2312" w:hAnsi="仿宋" w:eastAsia="仿宋_GB2312"/>
          <w:sz w:val="32"/>
          <w:szCs w:val="32"/>
          <w:highlight w:val="none"/>
          <w:lang w:eastAsia="zh-CN"/>
        </w:rPr>
      </w:pPr>
      <w:r>
        <w:rPr>
          <w:rStyle w:val="35"/>
          <w:rFonts w:hint="eastAsia" w:ascii="仿宋_GB2312" w:hAnsi="仿宋" w:eastAsia="仿宋_GB2312"/>
          <w:sz w:val="32"/>
          <w:szCs w:val="32"/>
          <w:highlight w:val="none"/>
          <w:lang w:eastAsia="zh-CN"/>
        </w:rPr>
        <w:t>汽车客运站办理客票退票时可向旅客收取退票费。汽车客运站或承运人责任造成的延误发车或脱班，旅客要求退票时，客运站应予以办理，并免收退票费。提前72小时退票的，免收退票费;当次客运班车开车时间2小时前办理退票，按票面金额的10%计收，不足0.5元按0.5元计算;当次客运班车开车前2小时以内办理退票，按票面金额的20%计收，不足1元按1元计算;开车后不办理退票。</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76" w:lineRule="exact"/>
        <w:ind w:leftChars="0" w:firstLine="640" w:firstLineChars="200"/>
        <w:jc w:val="both"/>
        <w:textAlignment w:val="auto"/>
        <w:rPr>
          <w:rStyle w:val="35"/>
          <w:rFonts w:hint="eastAsia" w:ascii="仿宋_GB2312" w:hAnsi="仿宋" w:eastAsia="仿宋_GB2312"/>
          <w:sz w:val="32"/>
          <w:szCs w:val="32"/>
          <w:highlight w:val="none"/>
        </w:rPr>
      </w:pPr>
      <w:r>
        <w:rPr>
          <w:rStyle w:val="35"/>
          <w:rFonts w:hint="eastAsia" w:ascii="仿宋_GB2312" w:hAnsi="仿宋" w:eastAsia="仿宋_GB2312"/>
          <w:sz w:val="32"/>
          <w:szCs w:val="32"/>
          <w:highlight w:val="none"/>
          <w:lang w:eastAsia="zh-CN"/>
        </w:rPr>
        <w:t>因极端恶劣天气导致不具备安全发车条件，取消发车计划的，应办理退票，并免收退票费。</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eastAsia" w:ascii="仿宋_GB2312" w:hAnsi="仿宋" w:eastAsia="仿宋_GB2312"/>
          <w:sz w:val="32"/>
          <w:szCs w:val="32"/>
          <w:highlight w:val="none"/>
        </w:rPr>
      </w:pPr>
      <w:r>
        <w:rPr>
          <w:rStyle w:val="35"/>
          <w:rFonts w:hint="eastAsia" w:ascii="仿宋_GB2312" w:hAnsi="仿宋" w:eastAsia="仿宋_GB2312"/>
          <w:sz w:val="32"/>
          <w:szCs w:val="32"/>
        </w:rPr>
        <w:t>鼓励汽车客运站、班车客运经营者向旅客免费提供改签服务</w:t>
      </w:r>
      <w:r>
        <w:rPr>
          <w:rStyle w:val="35"/>
          <w:rFonts w:hint="eastAsia" w:ascii="仿宋_GB2312" w:hAnsi="仿宋" w:eastAsia="仿宋_GB2312"/>
          <w:sz w:val="32"/>
          <w:szCs w:val="32"/>
          <w:highlight w:val="none"/>
        </w:rPr>
        <w:t>。</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eastAsia" w:ascii="仿宋_GB2312" w:hAnsi="仿宋" w:eastAsia="仿宋_GB2312"/>
          <w:sz w:val="32"/>
          <w:szCs w:val="32"/>
          <w:highlight w:val="none"/>
        </w:rPr>
      </w:pPr>
      <w:r>
        <w:rPr>
          <w:rStyle w:val="35"/>
          <w:rFonts w:hint="eastAsia" w:ascii="仿宋_GB2312" w:hAnsi="仿宋" w:eastAsia="仿宋_GB2312"/>
          <w:sz w:val="32"/>
          <w:szCs w:val="32"/>
        </w:rPr>
        <w:t>汽车客运站提供的可由承运人、旅客自主选择的其他服务项目收费实行市场调节价，具体服务项目收费标准应在汽车客运站内公示</w:t>
      </w:r>
      <w:r>
        <w:rPr>
          <w:rStyle w:val="35"/>
          <w:rFonts w:hint="eastAsia" w:ascii="仿宋_GB2312" w:hAnsi="仿宋" w:eastAsia="仿宋_GB2312"/>
          <w:sz w:val="32"/>
          <w:szCs w:val="32"/>
          <w:highlight w:val="none"/>
        </w:rPr>
        <w:t>。</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eastAsia" w:ascii="仿宋_GB2312" w:hAnsi="仿宋" w:eastAsia="仿宋_GB2312"/>
          <w:sz w:val="32"/>
          <w:szCs w:val="32"/>
          <w:highlight w:val="none"/>
        </w:rPr>
      </w:pPr>
      <w:r>
        <w:rPr>
          <w:rStyle w:val="35"/>
          <w:rFonts w:hint="eastAsia" w:ascii="仿宋_GB2312" w:hAnsi="仿宋" w:eastAsia="仿宋_GB2312"/>
          <w:sz w:val="32"/>
          <w:szCs w:val="32"/>
        </w:rPr>
        <w:t>汽车客运站不得在销售客票时违背乘客意愿强制搭售人身意外伤害保险</w:t>
      </w:r>
      <w:r>
        <w:rPr>
          <w:rStyle w:val="35"/>
          <w:rFonts w:hint="eastAsia" w:ascii="仿宋_GB2312" w:hAnsi="仿宋" w:eastAsia="仿宋_GB2312"/>
          <w:sz w:val="32"/>
          <w:szCs w:val="32"/>
          <w:highlight w:val="none"/>
          <w:lang w:eastAsia="zh-CN"/>
        </w:rPr>
        <w:t>。</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eastAsia" w:ascii="仿宋_GB2312" w:hAnsi="仿宋" w:eastAsia="仿宋_GB2312"/>
          <w:sz w:val="32"/>
          <w:szCs w:val="32"/>
          <w:highlight w:val="none"/>
        </w:rPr>
      </w:pPr>
      <w:r>
        <w:rPr>
          <w:rStyle w:val="35"/>
          <w:rFonts w:hint="eastAsia" w:ascii="仿宋_GB2312" w:hAnsi="仿宋" w:eastAsia="仿宋_GB2312"/>
          <w:sz w:val="32"/>
          <w:szCs w:val="32"/>
        </w:rPr>
        <w:t>班车客运经营者和汽车客运站应对持《中华人民共和国残疾军人证》的伤残军人、持《中华人民共和国伤残人民警察证》的伤残人民警察、持国家综合性消防救援队伍残疾人员证件的残疾消防救援人员执行客票半价优待，具体按照所乘班次执行票价的50%计算</w:t>
      </w:r>
      <w:r>
        <w:rPr>
          <w:rStyle w:val="35"/>
          <w:rFonts w:hint="eastAsia" w:ascii="仿宋_GB2312" w:hAnsi="仿宋" w:eastAsia="仿宋_GB2312"/>
          <w:sz w:val="32"/>
          <w:szCs w:val="32"/>
          <w:highlight w:val="none"/>
        </w:rPr>
        <w:t>。</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eastAsia" w:ascii="仿宋_GB2312" w:hAnsi="仿宋" w:eastAsia="仿宋_GB2312"/>
          <w:sz w:val="32"/>
          <w:szCs w:val="32"/>
          <w:highlight w:val="none"/>
        </w:rPr>
      </w:pPr>
      <w:r>
        <w:rPr>
          <w:rStyle w:val="35"/>
          <w:rFonts w:hint="eastAsia" w:ascii="仿宋_GB2312" w:hAnsi="仿宋" w:eastAsia="仿宋_GB2312"/>
          <w:sz w:val="32"/>
          <w:szCs w:val="32"/>
          <w:highlight w:val="none"/>
        </w:rPr>
        <w:t>除9座及以下客车外，符合条件的儿童享受免费乘车或者客票半价优待。</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76" w:lineRule="exact"/>
        <w:ind w:leftChars="0" w:firstLine="640" w:firstLineChars="200"/>
        <w:jc w:val="both"/>
        <w:textAlignment w:val="auto"/>
        <w:rPr>
          <w:rStyle w:val="35"/>
          <w:rFonts w:hint="eastAsia" w:ascii="仿宋_GB2312" w:hAnsi="仿宋" w:eastAsia="仿宋_GB2312"/>
          <w:sz w:val="32"/>
          <w:szCs w:val="32"/>
          <w:highlight w:val="none"/>
        </w:rPr>
      </w:pPr>
      <w:r>
        <w:rPr>
          <w:rStyle w:val="35"/>
          <w:rFonts w:hint="eastAsia" w:ascii="仿宋_GB2312" w:hAnsi="仿宋" w:eastAsia="仿宋_GB2312"/>
          <w:sz w:val="32"/>
          <w:szCs w:val="32"/>
          <w:highlight w:val="none"/>
        </w:rPr>
        <w:t>具体条件为:每一成人旅客携带的1名6周岁</w:t>
      </w:r>
      <w:r>
        <w:rPr>
          <w:rStyle w:val="35"/>
          <w:rFonts w:hint="eastAsia" w:ascii="仿宋_GB2312" w:hAnsi="仿宋" w:eastAsia="仿宋_GB2312"/>
          <w:sz w:val="32"/>
          <w:szCs w:val="32"/>
          <w:highlight w:val="none"/>
          <w:lang w:eastAsia="zh-CN"/>
        </w:rPr>
        <w:t>（</w:t>
      </w:r>
      <w:r>
        <w:rPr>
          <w:rStyle w:val="35"/>
          <w:rFonts w:hint="eastAsia" w:ascii="仿宋_GB2312" w:hAnsi="仿宋" w:eastAsia="仿宋_GB2312"/>
          <w:sz w:val="32"/>
          <w:szCs w:val="32"/>
          <w:highlight w:val="none"/>
        </w:rPr>
        <w:t>含6周岁</w:t>
      </w:r>
      <w:r>
        <w:rPr>
          <w:rStyle w:val="35"/>
          <w:rFonts w:hint="eastAsia" w:ascii="仿宋_GB2312" w:hAnsi="仿宋" w:eastAsia="仿宋_GB2312"/>
          <w:sz w:val="32"/>
          <w:szCs w:val="32"/>
          <w:highlight w:val="none"/>
          <w:lang w:eastAsia="zh-CN"/>
        </w:rPr>
        <w:t>）</w:t>
      </w:r>
      <w:r>
        <w:rPr>
          <w:rStyle w:val="35"/>
          <w:rFonts w:hint="eastAsia" w:ascii="仿宋_GB2312" w:hAnsi="仿宋" w:eastAsia="仿宋_GB2312"/>
          <w:sz w:val="32"/>
          <w:szCs w:val="32"/>
          <w:highlight w:val="none"/>
        </w:rPr>
        <w:t>以下或者身高1.2米</w:t>
      </w:r>
      <w:r>
        <w:rPr>
          <w:rStyle w:val="35"/>
          <w:rFonts w:hint="eastAsia" w:ascii="仿宋_GB2312" w:hAnsi="仿宋" w:eastAsia="仿宋_GB2312"/>
          <w:sz w:val="32"/>
          <w:szCs w:val="32"/>
          <w:highlight w:val="none"/>
          <w:lang w:eastAsia="zh-CN"/>
        </w:rPr>
        <w:t>（</w:t>
      </w:r>
      <w:r>
        <w:rPr>
          <w:rStyle w:val="35"/>
          <w:rFonts w:hint="eastAsia" w:ascii="仿宋_GB2312" w:hAnsi="仿宋" w:eastAsia="仿宋_GB2312"/>
          <w:sz w:val="32"/>
          <w:szCs w:val="32"/>
          <w:highlight w:val="none"/>
        </w:rPr>
        <w:t>含1.2米</w:t>
      </w:r>
      <w:r>
        <w:rPr>
          <w:rStyle w:val="35"/>
          <w:rFonts w:hint="eastAsia" w:ascii="仿宋_GB2312" w:hAnsi="仿宋" w:eastAsia="仿宋_GB2312"/>
          <w:sz w:val="32"/>
          <w:szCs w:val="32"/>
          <w:highlight w:val="none"/>
          <w:lang w:eastAsia="zh-CN"/>
        </w:rPr>
        <w:t>）</w:t>
      </w:r>
      <w:r>
        <w:rPr>
          <w:rStyle w:val="35"/>
          <w:rFonts w:hint="eastAsia" w:ascii="仿宋_GB2312" w:hAnsi="仿宋" w:eastAsia="仿宋_GB2312"/>
          <w:sz w:val="32"/>
          <w:szCs w:val="32"/>
          <w:highlight w:val="none"/>
        </w:rPr>
        <w:t>以下、且不单独占用座位的儿童免费乘车，需单独占用座位或者超过1名时超过的人数执行客票半价优待，并提供座位; 6-14周岁（含14周岁）或者身高为1.2-1.5米（含1.5米）的儿童乘车执行客票半价优待，并提供座位。鼓励有条件的地方适当放宽优惠政策。</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line="576" w:lineRule="exact"/>
        <w:ind w:leftChars="0" w:firstLine="640" w:firstLineChars="200"/>
        <w:jc w:val="both"/>
        <w:textAlignment w:val="auto"/>
        <w:rPr>
          <w:rStyle w:val="35"/>
          <w:rFonts w:hint="eastAsia" w:ascii="仿宋_GB2312" w:hAnsi="仿宋" w:eastAsia="仿宋_GB2312"/>
          <w:sz w:val="32"/>
          <w:szCs w:val="32"/>
          <w:highlight w:val="none"/>
          <w:lang w:eastAsia="zh-CN"/>
        </w:rPr>
      </w:pPr>
      <w:r>
        <w:rPr>
          <w:rStyle w:val="35"/>
          <w:rFonts w:hint="eastAsia" w:ascii="仿宋_GB2312" w:hAnsi="仿宋" w:eastAsia="仿宋_GB2312"/>
          <w:sz w:val="32"/>
          <w:szCs w:val="32"/>
          <w:highlight w:val="none"/>
        </w:rPr>
        <w:t>证明儿童年龄的有效身份证件包括中华人民共和国户口本、居民身份证、中华人民共和国临时居民身份证、港澳台居民居住证、港澳居民来往内地通行证、台湾居民来往大陆通行证、护照、外国人永久居留身份证等</w:t>
      </w:r>
      <w:r>
        <w:rPr>
          <w:rStyle w:val="35"/>
          <w:rFonts w:hint="eastAsia" w:ascii="仿宋_GB2312" w:hAnsi="仿宋" w:eastAsia="仿宋_GB2312"/>
          <w:sz w:val="32"/>
          <w:szCs w:val="32"/>
          <w:highlight w:val="none"/>
          <w:lang w:eastAsia="zh-CN"/>
        </w:rPr>
        <w:t>。</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eastAsia" w:ascii="仿宋_GB2312" w:hAnsi="仿宋" w:eastAsia="仿宋_GB2312"/>
          <w:sz w:val="32"/>
          <w:szCs w:val="32"/>
          <w:highlight w:val="none"/>
        </w:rPr>
      </w:pPr>
      <w:r>
        <w:rPr>
          <w:rStyle w:val="35"/>
          <w:rFonts w:hint="eastAsia" w:ascii="仿宋_GB2312" w:hAnsi="Times New Roman" w:eastAsia="仿宋_GB2312"/>
          <w:sz w:val="32"/>
          <w:szCs w:val="32"/>
        </w:rPr>
        <w:t>在客车满载情况下免费乘车儿童数量不得超过核定载客人数的10％（舍去小数位取整）</w:t>
      </w:r>
      <w:r>
        <w:rPr>
          <w:rStyle w:val="35"/>
          <w:rFonts w:hint="eastAsia" w:ascii="仿宋_GB2312" w:hAnsi="Times New Roman" w:eastAsia="仿宋_GB2312"/>
          <w:sz w:val="32"/>
          <w:szCs w:val="32"/>
          <w:highlight w:val="none"/>
        </w:rPr>
        <w:t>。</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eastAsia" w:ascii="仿宋_GB2312" w:hAnsi="仿宋" w:eastAsia="仿宋_GB2312"/>
          <w:sz w:val="32"/>
          <w:szCs w:val="32"/>
          <w:highlight w:val="none"/>
        </w:rPr>
      </w:pPr>
      <w:r>
        <w:rPr>
          <w:rStyle w:val="35"/>
          <w:rFonts w:hint="eastAsia" w:ascii="仿宋_GB2312" w:hAnsi="仿宋" w:eastAsia="仿宋_GB2312"/>
          <w:sz w:val="32"/>
          <w:szCs w:val="32"/>
        </w:rPr>
        <w:t>公交化改造线路的乘车优惠政策参照班车客运的规定执行</w:t>
      </w:r>
      <w:r>
        <w:rPr>
          <w:rStyle w:val="35"/>
          <w:rFonts w:hint="eastAsia" w:ascii="仿宋_GB2312" w:hAnsi="仿宋" w:eastAsia="仿宋_GB2312"/>
          <w:sz w:val="32"/>
          <w:szCs w:val="32"/>
          <w:highlight w:val="none"/>
          <w:lang w:val="en-US" w:eastAsia="zh-CN"/>
        </w:rPr>
        <w:t>。</w:t>
      </w:r>
    </w:p>
    <w:p>
      <w:pPr>
        <w:keepNext w:val="0"/>
        <w:keepLines w:val="0"/>
        <w:pageBreakBefore w:val="0"/>
        <w:numPr>
          <w:ilvl w:val="0"/>
          <w:numId w:val="0"/>
        </w:numPr>
        <w:suppressAutoHyphens/>
        <w:kinsoku/>
        <w:wordWrap/>
        <w:overflowPunct/>
        <w:topLinePunct w:val="0"/>
        <w:autoSpaceDE/>
        <w:autoSpaceDN/>
        <w:bidi w:val="0"/>
        <w:adjustRightInd/>
        <w:snapToGrid/>
        <w:spacing w:line="576" w:lineRule="exact"/>
        <w:jc w:val="center"/>
        <w:textAlignment w:val="auto"/>
        <w:rPr>
          <w:rStyle w:val="35"/>
          <w:rFonts w:hint="eastAsia" w:ascii="黑体" w:hAnsi="黑体" w:eastAsia="黑体" w:cs="黑体"/>
          <w:sz w:val="32"/>
          <w:szCs w:val="32"/>
          <w:highlight w:val="none"/>
          <w:lang w:val="en-US" w:eastAsia="zh-CN"/>
        </w:rPr>
      </w:pPr>
      <w:r>
        <w:rPr>
          <w:rStyle w:val="35"/>
          <w:rFonts w:hint="eastAsia" w:ascii="黑体" w:hAnsi="黑体" w:eastAsia="黑体" w:cs="黑体"/>
          <w:sz w:val="32"/>
          <w:szCs w:val="32"/>
          <w:highlight w:val="none"/>
          <w:lang w:val="en-US" w:eastAsia="zh-CN"/>
        </w:rPr>
        <w:t>第三章 城市公交</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eastAsia" w:ascii="仿宋_GB2312" w:hAnsi="仿宋" w:eastAsia="仿宋_GB2312"/>
          <w:sz w:val="32"/>
          <w:szCs w:val="32"/>
          <w:highlight w:val="none"/>
        </w:rPr>
      </w:pPr>
      <w:r>
        <w:rPr>
          <w:rStyle w:val="35"/>
          <w:rFonts w:hint="eastAsia" w:ascii="仿宋_GB2312" w:hAnsi="仿宋" w:eastAsia="仿宋_GB2312"/>
          <w:sz w:val="32"/>
          <w:szCs w:val="32"/>
        </w:rPr>
        <w:t>城市公交实行政府定价。各地要按照“社会可承受、企业可承载、财政可承担”的原则，在充分考虑城市公共交通运营成本的基础上，科学合理地确定城市公交票价</w:t>
      </w:r>
      <w:r>
        <w:rPr>
          <w:rStyle w:val="35"/>
          <w:rFonts w:hint="eastAsia" w:ascii="仿宋_GB2312" w:hAnsi="仿宋" w:eastAsia="仿宋_GB2312"/>
          <w:sz w:val="32"/>
          <w:szCs w:val="32"/>
          <w:highlight w:val="none"/>
          <w:lang w:val="en-US" w:eastAsia="zh-CN"/>
        </w:rPr>
        <w:t>。</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eastAsia" w:ascii="仿宋_GB2312" w:hAnsi="仿宋" w:eastAsia="仿宋_GB2312"/>
          <w:sz w:val="32"/>
          <w:szCs w:val="32"/>
          <w:highlight w:val="none"/>
        </w:rPr>
      </w:pPr>
      <w:r>
        <w:rPr>
          <w:rStyle w:val="35"/>
          <w:rFonts w:hint="eastAsia" w:ascii="仿宋_GB2312" w:hAnsi="仿宋" w:eastAsia="仿宋_GB2312"/>
          <w:sz w:val="32"/>
          <w:szCs w:val="32"/>
        </w:rPr>
        <w:t>鼓励根据城市公共交通服务质量、运输距离以及换乘方式等因素，建立多层次、差别化的城市公共交通票价体系，灵活提供多种票制、票价</w:t>
      </w:r>
      <w:r>
        <w:rPr>
          <w:rStyle w:val="35"/>
          <w:rFonts w:hint="eastAsia" w:ascii="仿宋_GB2312" w:hAnsi="仿宋" w:eastAsia="仿宋_GB2312"/>
          <w:sz w:val="32"/>
          <w:szCs w:val="32"/>
          <w:highlight w:val="none"/>
        </w:rPr>
        <w:t>。</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eastAsia" w:ascii="仿宋_GB2312" w:hAnsi="仿宋" w:eastAsia="仿宋_GB2312"/>
          <w:sz w:val="32"/>
          <w:szCs w:val="32"/>
          <w:highlight w:val="none"/>
        </w:rPr>
      </w:pPr>
      <w:r>
        <w:rPr>
          <w:rStyle w:val="35"/>
          <w:rFonts w:hint="eastAsia" w:ascii="仿宋_GB2312" w:hAnsi="仿宋" w:eastAsia="仿宋_GB2312"/>
          <w:sz w:val="32"/>
          <w:szCs w:val="32"/>
        </w:rPr>
        <w:t>制定或调整城市公交票价，应当进行价格听证，提高票价制定和调整的科学性和透明度</w:t>
      </w:r>
      <w:r>
        <w:rPr>
          <w:rStyle w:val="35"/>
          <w:rFonts w:hint="eastAsia" w:ascii="仿宋_GB2312" w:hAnsi="仿宋" w:eastAsia="仿宋_GB2312"/>
          <w:sz w:val="32"/>
          <w:szCs w:val="32"/>
          <w:highlight w:val="none"/>
        </w:rPr>
        <w:t>。</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eastAsia" w:ascii="仿宋_GB2312" w:hAnsi="仿宋" w:eastAsia="仿宋_GB2312"/>
          <w:sz w:val="32"/>
          <w:szCs w:val="32"/>
          <w:highlight w:val="none"/>
        </w:rPr>
      </w:pPr>
      <w:r>
        <w:rPr>
          <w:rStyle w:val="35"/>
          <w:rFonts w:hint="eastAsia" w:ascii="仿宋_GB2312" w:hAnsi="仿宋" w:eastAsia="仿宋_GB2312"/>
          <w:sz w:val="32"/>
          <w:szCs w:val="32"/>
        </w:rPr>
        <w:t>鼓励各地提供定制公交服务，定制公交实行市场调节价</w:t>
      </w:r>
      <w:r>
        <w:rPr>
          <w:rStyle w:val="35"/>
          <w:rFonts w:hint="eastAsia" w:ascii="仿宋_GB2312" w:hAnsi="仿宋" w:eastAsia="仿宋_GB2312"/>
          <w:sz w:val="32"/>
          <w:szCs w:val="32"/>
          <w:highlight w:val="none"/>
        </w:rPr>
        <w:t>。</w:t>
      </w:r>
    </w:p>
    <w:p>
      <w:pPr>
        <w:keepNext w:val="0"/>
        <w:keepLines w:val="0"/>
        <w:pageBreakBefore w:val="0"/>
        <w:numPr>
          <w:ilvl w:val="0"/>
          <w:numId w:val="0"/>
        </w:numPr>
        <w:suppressAutoHyphens/>
        <w:kinsoku/>
        <w:wordWrap/>
        <w:overflowPunct/>
        <w:topLinePunct w:val="0"/>
        <w:autoSpaceDE/>
        <w:autoSpaceDN/>
        <w:bidi w:val="0"/>
        <w:adjustRightInd/>
        <w:snapToGrid/>
        <w:spacing w:line="576" w:lineRule="exact"/>
        <w:ind w:leftChars="0"/>
        <w:jc w:val="center"/>
        <w:textAlignment w:val="auto"/>
        <w:rPr>
          <w:rStyle w:val="35"/>
          <w:rFonts w:hint="eastAsia" w:ascii="黑体" w:hAnsi="黑体" w:eastAsia="黑体" w:cs="黑体"/>
          <w:sz w:val="32"/>
          <w:szCs w:val="32"/>
          <w:highlight w:val="none"/>
          <w:lang w:val="en-US" w:eastAsia="zh-CN"/>
        </w:rPr>
      </w:pPr>
      <w:r>
        <w:rPr>
          <w:rStyle w:val="35"/>
          <w:rFonts w:hint="eastAsia" w:ascii="黑体" w:hAnsi="黑体" w:eastAsia="黑体" w:cs="黑体"/>
          <w:sz w:val="32"/>
          <w:szCs w:val="32"/>
          <w:highlight w:val="none"/>
          <w:lang w:val="en-US" w:eastAsia="zh-CN"/>
        </w:rPr>
        <w:t>第四章 出租车和网约车</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eastAsia" w:ascii="仿宋_GB2312" w:hAnsi="仿宋" w:eastAsia="仿宋_GB2312"/>
          <w:sz w:val="32"/>
          <w:szCs w:val="32"/>
          <w:highlight w:val="none"/>
        </w:rPr>
      </w:pPr>
      <w:r>
        <w:rPr>
          <w:rStyle w:val="35"/>
          <w:rFonts w:hint="eastAsia" w:ascii="仿宋_GB2312" w:hAnsi="仿宋" w:eastAsia="仿宋_GB2312"/>
          <w:sz w:val="32"/>
          <w:szCs w:val="32"/>
        </w:rPr>
        <w:t>各城市人民政府可结合本地实际情况，对巡游出租汽车运价实行政府指导价或者政府定价管理。各地要结合本地实际情况，综合考虑出租汽车运营成本、居民和驾驶员收入水平、交通状况、服务质量、居民出行需求、网约车运价等因素，按照规定程序，科学定位，合理确定巡游出租汽车运价水平和结构</w:t>
      </w:r>
      <w:r>
        <w:rPr>
          <w:rStyle w:val="35"/>
          <w:rFonts w:hint="eastAsia" w:ascii="仿宋_GB2312" w:hAnsi="仿宋" w:eastAsia="仿宋_GB2312"/>
          <w:sz w:val="32"/>
          <w:szCs w:val="32"/>
          <w:highlight w:val="none"/>
        </w:rPr>
        <w:t>。</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eastAsia" w:ascii="仿宋_GB2312" w:hAnsi="仿宋" w:eastAsia="仿宋_GB2312"/>
          <w:sz w:val="32"/>
          <w:szCs w:val="32"/>
          <w:highlight w:val="none"/>
        </w:rPr>
      </w:pPr>
      <w:r>
        <w:rPr>
          <w:rStyle w:val="35"/>
          <w:rFonts w:hint="eastAsia" w:hAnsi="仿宋"/>
          <w:sz w:val="32"/>
          <w:szCs w:val="32"/>
          <w:highlight w:val="none"/>
          <w:lang w:eastAsia="zh-CN"/>
        </w:rPr>
        <w:t>各城市人民政府</w:t>
      </w:r>
      <w:r>
        <w:rPr>
          <w:rStyle w:val="35"/>
          <w:rFonts w:hint="eastAsia" w:ascii="仿宋_GB2312" w:hAnsi="仿宋" w:eastAsia="仿宋_GB2312"/>
          <w:sz w:val="32"/>
          <w:szCs w:val="32"/>
          <w:highlight w:val="none"/>
        </w:rPr>
        <w:t>探</w:t>
      </w:r>
      <w:r>
        <w:rPr>
          <w:rStyle w:val="35"/>
          <w:rFonts w:hint="eastAsia" w:ascii="仿宋_GB2312" w:hAnsi="仿宋" w:eastAsia="仿宋_GB2312"/>
          <w:sz w:val="32"/>
          <w:szCs w:val="32"/>
        </w:rPr>
        <w:t>索建立出租汽车运价动态监测分析机制和运价调整机制，健全定价规则，完善运价与能源价格联动办法，对运价调整机制进行听证，达到启动条件时及时实施运价调整并向社会公告</w:t>
      </w:r>
      <w:r>
        <w:rPr>
          <w:rStyle w:val="35"/>
          <w:rFonts w:hint="eastAsia" w:ascii="仿宋_GB2312" w:hAnsi="仿宋" w:eastAsia="仿宋_GB2312"/>
          <w:sz w:val="32"/>
          <w:szCs w:val="32"/>
          <w:highlight w:val="none"/>
          <w:lang w:eastAsia="zh-CN"/>
        </w:rPr>
        <w:t>。</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eastAsia" w:ascii="仿宋_GB2312" w:hAnsi="仿宋" w:eastAsia="仿宋_GB2312"/>
          <w:sz w:val="32"/>
          <w:szCs w:val="32"/>
          <w:highlight w:val="none"/>
        </w:rPr>
      </w:pPr>
      <w:r>
        <w:rPr>
          <w:rStyle w:val="35"/>
          <w:rFonts w:hint="eastAsia" w:ascii="仿宋_GB2312" w:hAnsi="仿宋" w:eastAsia="仿宋_GB2312"/>
          <w:sz w:val="32"/>
          <w:szCs w:val="32"/>
        </w:rPr>
        <w:t>对网约车实行市场调节价，城市人民政府认为确有必要的可实行政府指导价</w:t>
      </w:r>
      <w:r>
        <w:rPr>
          <w:rStyle w:val="35"/>
          <w:rFonts w:hint="eastAsia" w:ascii="仿宋_GB2312" w:hAnsi="仿宋" w:eastAsia="仿宋_GB2312"/>
          <w:sz w:val="32"/>
          <w:szCs w:val="32"/>
          <w:highlight w:val="none"/>
          <w:lang w:eastAsia="zh-CN"/>
        </w:rPr>
        <w:t>。</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eastAsia" w:ascii="仿宋_GB2312" w:hAnsi="仿宋" w:eastAsia="仿宋_GB2312"/>
          <w:sz w:val="32"/>
          <w:szCs w:val="32"/>
          <w:highlight w:val="none"/>
        </w:rPr>
      </w:pPr>
      <w:r>
        <w:rPr>
          <w:rStyle w:val="35"/>
          <w:rFonts w:hint="eastAsia" w:ascii="仿宋_GB2312" w:hAnsi="仿宋" w:eastAsia="仿宋_GB2312"/>
          <w:sz w:val="32"/>
          <w:szCs w:val="32"/>
        </w:rPr>
        <w:t>网约车平台公司应主动公开定价机制和加价机制，通过公司网站、移动互联网应用程序</w:t>
      </w:r>
      <w:r>
        <w:rPr>
          <w:rStyle w:val="35"/>
          <w:rFonts w:hint="eastAsia" w:ascii="仿宋_GB2312" w:hAnsi="仿宋" w:eastAsia="仿宋_GB2312"/>
          <w:sz w:val="32"/>
          <w:szCs w:val="32"/>
          <w:lang w:eastAsia="zh-CN"/>
        </w:rPr>
        <w:t>（</w:t>
      </w:r>
      <w:r>
        <w:rPr>
          <w:rStyle w:val="35"/>
          <w:rFonts w:hint="eastAsia" w:ascii="仿宋_GB2312" w:hAnsi="仿宋" w:eastAsia="仿宋_GB2312"/>
          <w:sz w:val="32"/>
          <w:szCs w:val="32"/>
        </w:rPr>
        <w:t>APP</w:t>
      </w:r>
      <w:r>
        <w:rPr>
          <w:rStyle w:val="35"/>
          <w:rFonts w:hint="eastAsia" w:ascii="仿宋_GB2312" w:hAnsi="仿宋" w:eastAsia="仿宋_GB2312"/>
          <w:sz w:val="32"/>
          <w:szCs w:val="32"/>
          <w:lang w:eastAsia="zh-CN"/>
        </w:rPr>
        <w:t>）</w:t>
      </w:r>
      <w:r>
        <w:rPr>
          <w:rStyle w:val="35"/>
          <w:rFonts w:hint="eastAsia" w:ascii="仿宋_GB2312" w:hAnsi="仿宋" w:eastAsia="仿宋_GB2312"/>
          <w:sz w:val="32"/>
          <w:szCs w:val="32"/>
        </w:rPr>
        <w:t>等方式公布运价结构、计价加价规则，保持加价标准合理且相对稳定，保障结算账单清晰、规范、透明，并接受社会监督</w:t>
      </w:r>
      <w:r>
        <w:rPr>
          <w:rStyle w:val="35"/>
          <w:rFonts w:hint="eastAsia" w:ascii="仿宋_GB2312" w:hAnsi="仿宋" w:eastAsia="仿宋_GB2312"/>
          <w:sz w:val="32"/>
          <w:szCs w:val="32"/>
          <w:highlight w:val="none"/>
          <w:lang w:eastAsia="zh-CN"/>
        </w:rPr>
        <w:t>。</w:t>
      </w:r>
    </w:p>
    <w:p>
      <w:pPr>
        <w:keepNext w:val="0"/>
        <w:keepLines w:val="0"/>
        <w:pageBreakBefore w:val="0"/>
        <w:numPr>
          <w:ilvl w:val="0"/>
          <w:numId w:val="0"/>
        </w:numPr>
        <w:suppressAutoHyphens/>
        <w:kinsoku/>
        <w:wordWrap/>
        <w:overflowPunct/>
        <w:topLinePunct w:val="0"/>
        <w:autoSpaceDE/>
        <w:autoSpaceDN/>
        <w:bidi w:val="0"/>
        <w:adjustRightInd/>
        <w:snapToGrid/>
        <w:spacing w:line="576" w:lineRule="exact"/>
        <w:jc w:val="center"/>
        <w:textAlignment w:val="auto"/>
        <w:rPr>
          <w:rStyle w:val="35"/>
          <w:rFonts w:hint="eastAsia" w:ascii="黑体" w:hAnsi="黑体" w:eastAsia="黑体" w:cs="黑体"/>
          <w:sz w:val="32"/>
          <w:szCs w:val="32"/>
          <w:highlight w:val="none"/>
        </w:rPr>
      </w:pPr>
      <w:r>
        <w:rPr>
          <w:rStyle w:val="35"/>
          <w:rFonts w:hint="eastAsia" w:ascii="黑体" w:hAnsi="黑体" w:eastAsia="黑体" w:cs="黑体"/>
          <w:sz w:val="32"/>
          <w:szCs w:val="32"/>
          <w:highlight w:val="none"/>
          <w:lang w:eastAsia="zh-CN"/>
        </w:rPr>
        <w:t>第五章</w:t>
      </w:r>
      <w:r>
        <w:rPr>
          <w:rStyle w:val="35"/>
          <w:rFonts w:hint="eastAsia" w:ascii="黑体" w:hAnsi="黑体" w:eastAsia="黑体" w:cs="黑体"/>
          <w:sz w:val="32"/>
          <w:szCs w:val="32"/>
          <w:highlight w:val="none"/>
          <w:lang w:val="en-US" w:eastAsia="zh-CN"/>
        </w:rPr>
        <w:t xml:space="preserve"> 价格管理</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eastAsia" w:ascii="仿宋_GB2312" w:hAnsi="仿宋" w:eastAsia="仿宋_GB2312"/>
          <w:sz w:val="32"/>
          <w:szCs w:val="32"/>
          <w:highlight w:val="none"/>
        </w:rPr>
      </w:pPr>
      <w:r>
        <w:rPr>
          <w:rStyle w:val="35"/>
          <w:rFonts w:hint="eastAsia" w:ascii="仿宋_GB2312" w:hAnsi="仿宋" w:eastAsia="仿宋_GB2312"/>
          <w:sz w:val="32"/>
          <w:szCs w:val="32"/>
        </w:rPr>
        <w:t>对实行政府定价、政府指导价的道路运输价格和汽车客运站收费，要依法纳入地方定价目录。定价机关制定或者调整价格，应依法开展定价成本监审或者成本调查，并广泛听取社会各方面意见</w:t>
      </w:r>
      <w:r>
        <w:rPr>
          <w:rStyle w:val="35"/>
          <w:rFonts w:hint="eastAsia" w:ascii="仿宋_GB2312" w:hAnsi="仿宋" w:eastAsia="仿宋_GB2312"/>
          <w:sz w:val="32"/>
          <w:szCs w:val="32"/>
          <w:highlight w:val="none"/>
          <w:lang w:val="en-US" w:eastAsia="zh-CN"/>
        </w:rPr>
        <w:t>。</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eastAsia" w:ascii="仿宋_GB2312" w:hAnsi="仿宋" w:eastAsia="仿宋_GB2312"/>
          <w:sz w:val="32"/>
          <w:szCs w:val="32"/>
          <w:highlight w:val="none"/>
        </w:rPr>
      </w:pPr>
      <w:r>
        <w:rPr>
          <w:rStyle w:val="35"/>
          <w:rFonts w:hint="eastAsia" w:ascii="仿宋_GB2312" w:hAnsi="仿宋" w:eastAsia="仿宋_GB2312"/>
          <w:sz w:val="32"/>
          <w:szCs w:val="32"/>
        </w:rPr>
        <w:t>春运和节假日期间，班车客运票价不得在正常的政府指导价规定范围或者政府定价水平以外实行特殊的加价政策</w:t>
      </w:r>
      <w:r>
        <w:rPr>
          <w:rStyle w:val="35"/>
          <w:rFonts w:hint="eastAsia" w:ascii="仿宋_GB2312" w:hAnsi="仿宋" w:eastAsia="仿宋_GB2312"/>
          <w:sz w:val="32"/>
          <w:szCs w:val="32"/>
          <w:highlight w:val="none"/>
        </w:rPr>
        <w:t>。</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eastAsia" w:ascii="仿宋_GB2312" w:hAnsi="仿宋" w:eastAsia="仿宋_GB2312"/>
          <w:sz w:val="32"/>
          <w:szCs w:val="32"/>
          <w:highlight w:val="none"/>
        </w:rPr>
      </w:pPr>
      <w:r>
        <w:rPr>
          <w:rStyle w:val="35"/>
          <w:rFonts w:hint="eastAsia" w:ascii="仿宋_GB2312" w:hAnsi="仿宋" w:eastAsia="仿宋_GB2312"/>
          <w:sz w:val="32"/>
          <w:szCs w:val="32"/>
        </w:rPr>
        <w:t>道路运输经营者按照价格政策规定制定或者调整价格、网约车平台公司调整定价机制或者动态加价机制，</w:t>
      </w:r>
      <w:r>
        <w:rPr>
          <w:rStyle w:val="35"/>
          <w:rFonts w:hint="eastAsia" w:ascii="仿宋_GB2312" w:hAnsi="仿宋" w:eastAsia="仿宋_GB2312" w:cs="Times New Roman"/>
          <w:sz w:val="32"/>
          <w:szCs w:val="32"/>
        </w:rPr>
        <w:t>应在执行新票价的7日前向</w:t>
      </w:r>
      <w:r>
        <w:rPr>
          <w:rStyle w:val="35"/>
          <w:rFonts w:hint="eastAsia" w:ascii="仿宋_GB2312" w:hAnsi="仿宋" w:eastAsia="仿宋_GB2312"/>
          <w:sz w:val="32"/>
          <w:szCs w:val="32"/>
        </w:rPr>
        <w:t>社会公布</w:t>
      </w:r>
      <w:r>
        <w:rPr>
          <w:rStyle w:val="35"/>
          <w:rFonts w:hint="eastAsia" w:ascii="仿宋_GB2312" w:hAnsi="仿宋" w:eastAsia="仿宋_GB2312"/>
          <w:sz w:val="32"/>
          <w:szCs w:val="32"/>
          <w:highlight w:val="none"/>
        </w:rPr>
        <w:t>。</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eastAsia" w:ascii="仿宋_GB2312" w:hAnsi="仿宋" w:eastAsia="仿宋_GB2312"/>
          <w:sz w:val="32"/>
          <w:szCs w:val="32"/>
          <w:highlight w:val="none"/>
          <w:lang w:eastAsia="zh-CN"/>
        </w:rPr>
      </w:pPr>
      <w:r>
        <w:rPr>
          <w:rStyle w:val="35"/>
          <w:rFonts w:hint="eastAsia" w:ascii="仿宋_GB2312" w:hAnsi="仿宋" w:eastAsia="仿宋_GB2312"/>
          <w:sz w:val="32"/>
          <w:szCs w:val="32"/>
        </w:rPr>
        <w:t>各地价格、交通运输等主管部门，应建立健全道路运输价格监测分析预警机制，密切跟踪分析本地区道路运输价格总体水平和重要领域价格走势，着重加强春运、节假日等重点时段价格监测，完善价格异常波动应对预案，及时提出调控建议，保持价格水平处于合理区间</w:t>
      </w:r>
      <w:r>
        <w:rPr>
          <w:rStyle w:val="35"/>
          <w:rFonts w:hint="eastAsia" w:ascii="仿宋_GB2312" w:hAnsi="仿宋" w:eastAsia="仿宋_GB2312"/>
          <w:sz w:val="32"/>
          <w:szCs w:val="32"/>
          <w:highlight w:val="none"/>
        </w:rPr>
        <w:t>。</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eastAsia" w:ascii="仿宋_GB2312" w:hAnsi="仿宋" w:eastAsia="仿宋_GB2312"/>
          <w:sz w:val="32"/>
          <w:szCs w:val="32"/>
          <w:highlight w:val="none"/>
          <w:lang w:eastAsia="zh-CN"/>
        </w:rPr>
      </w:pPr>
      <w:r>
        <w:rPr>
          <w:rStyle w:val="35"/>
          <w:rFonts w:hint="eastAsia" w:ascii="仿宋_GB2312" w:hAnsi="仿宋" w:eastAsia="仿宋_GB2312"/>
          <w:color w:val="auto"/>
          <w:sz w:val="32"/>
          <w:szCs w:val="32"/>
          <w:highlight w:val="none"/>
          <w:u w:val="none"/>
        </w:rPr>
        <w:t>各地市场监管部门要依法查处汽车客运站、道路运输经营者不按规定明码标价、不执行政府指导价、政府定价以及价格欺诈等价格违法违规行为</w:t>
      </w:r>
      <w:r>
        <w:rPr>
          <w:rStyle w:val="35"/>
          <w:rFonts w:hint="eastAsia" w:ascii="仿宋_GB2312" w:hAnsi="仿宋" w:eastAsia="仿宋_GB2312"/>
          <w:sz w:val="32"/>
          <w:szCs w:val="32"/>
          <w:highlight w:val="none"/>
          <w:lang w:eastAsia="zh-CN"/>
        </w:rPr>
        <w:t>。</w:t>
      </w:r>
    </w:p>
    <w:p>
      <w:pPr>
        <w:keepNext w:val="0"/>
        <w:keepLines w:val="0"/>
        <w:pageBreakBefore w:val="0"/>
        <w:numPr>
          <w:ilvl w:val="0"/>
          <w:numId w:val="0"/>
        </w:numPr>
        <w:suppressAutoHyphens/>
        <w:kinsoku/>
        <w:wordWrap/>
        <w:overflowPunct/>
        <w:topLinePunct w:val="0"/>
        <w:autoSpaceDE/>
        <w:autoSpaceDN/>
        <w:bidi w:val="0"/>
        <w:adjustRightInd/>
        <w:snapToGrid/>
        <w:spacing w:line="576" w:lineRule="exact"/>
        <w:jc w:val="center"/>
        <w:textAlignment w:val="auto"/>
        <w:rPr>
          <w:rStyle w:val="35"/>
          <w:rFonts w:hint="eastAsia" w:ascii="黑体" w:hAnsi="黑体" w:eastAsia="黑体" w:cs="黑体"/>
          <w:sz w:val="32"/>
          <w:szCs w:val="32"/>
          <w:highlight w:val="none"/>
          <w:lang w:val="en-US" w:eastAsia="zh-CN"/>
        </w:rPr>
      </w:pPr>
      <w:r>
        <w:rPr>
          <w:rStyle w:val="35"/>
          <w:rFonts w:hint="eastAsia" w:ascii="黑体" w:hAnsi="黑体" w:eastAsia="黑体" w:cs="黑体"/>
          <w:sz w:val="32"/>
          <w:szCs w:val="32"/>
          <w:highlight w:val="none"/>
          <w:lang w:val="en-US" w:eastAsia="zh-CN"/>
        </w:rPr>
        <w:t>第六章 附则</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eastAsia" w:ascii="仿宋_GB2312" w:hAnsi="仿宋" w:eastAsia="仿宋_GB2312"/>
          <w:sz w:val="32"/>
          <w:szCs w:val="32"/>
          <w:highlight w:val="none"/>
        </w:rPr>
      </w:pPr>
      <w:r>
        <w:rPr>
          <w:rStyle w:val="35"/>
          <w:rFonts w:hint="eastAsia" w:ascii="仿宋_GB2312" w:hAnsi="仿宋" w:eastAsia="仿宋_GB2312" w:cs="Times New Roman"/>
          <w:color w:val="auto"/>
          <w:sz w:val="32"/>
          <w:szCs w:val="32"/>
          <w:highlight w:val="none"/>
          <w:u w:val="none"/>
        </w:rPr>
        <w:t>国防战备、抢险救灾、紧急运输等政府指令性旅客运输价格执行道路班车客运基准运价</w:t>
      </w:r>
      <w:r>
        <w:rPr>
          <w:rStyle w:val="35"/>
          <w:rFonts w:hint="eastAsia" w:ascii="仿宋_GB2312" w:hAnsi="仿宋" w:eastAsia="仿宋_GB2312"/>
          <w:sz w:val="32"/>
          <w:szCs w:val="32"/>
          <w:highlight w:val="none"/>
          <w:lang w:val="en-US" w:eastAsia="zh-CN"/>
        </w:rPr>
        <w:t>。</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eastAsia" w:ascii="仿宋_GB2312" w:hAnsi="仿宋" w:eastAsia="仿宋_GB2312"/>
          <w:sz w:val="32"/>
          <w:szCs w:val="32"/>
          <w:highlight w:val="none"/>
        </w:rPr>
      </w:pPr>
      <w:r>
        <w:rPr>
          <w:rStyle w:val="35"/>
          <w:rFonts w:hint="eastAsia" w:ascii="仿宋_GB2312" w:hAnsi="仿宋" w:eastAsia="仿宋_GB2312"/>
          <w:sz w:val="32"/>
          <w:szCs w:val="32"/>
        </w:rPr>
        <w:t>道路货物运输继续实行市场调节价</w:t>
      </w:r>
      <w:r>
        <w:rPr>
          <w:rStyle w:val="35"/>
          <w:rFonts w:hint="eastAsia" w:ascii="仿宋_GB2312" w:hAnsi="仿宋" w:eastAsia="仿宋_GB2312"/>
          <w:sz w:val="32"/>
          <w:szCs w:val="32"/>
          <w:highlight w:val="none"/>
          <w:lang w:eastAsia="zh-CN"/>
        </w:rPr>
        <w:t>。</w:t>
      </w:r>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eastAsia" w:ascii="仿宋_GB2312" w:hAnsi="仿宋" w:eastAsia="仿宋_GB2312"/>
          <w:sz w:val="32"/>
          <w:szCs w:val="32"/>
          <w:highlight w:val="none"/>
        </w:rPr>
      </w:pPr>
      <w:r>
        <w:rPr>
          <w:rStyle w:val="35"/>
          <w:rFonts w:hint="eastAsia" w:ascii="仿宋_GB2312" w:hAnsi="仿宋" w:eastAsia="仿宋_GB2312"/>
          <w:sz w:val="32"/>
          <w:szCs w:val="32"/>
          <w:highlight w:val="none"/>
          <w:lang w:eastAsia="zh-CN"/>
        </w:rPr>
        <w:t>本办法由省交通运输厅、省发展改革委、省市场监管厅按照职责分工负责解释。</w:t>
      </w:r>
      <w:bookmarkStart w:id="3" w:name="_GoBack"/>
      <w:bookmarkEnd w:id="3"/>
    </w:p>
    <w:p>
      <w:pPr>
        <w:keepNext w:val="0"/>
        <w:keepLines w:val="0"/>
        <w:pageBreakBefore w:val="0"/>
        <w:numPr>
          <w:ilvl w:val="0"/>
          <w:numId w:val="2"/>
        </w:numPr>
        <w:suppressAutoHyphens/>
        <w:kinsoku/>
        <w:wordWrap/>
        <w:overflowPunct/>
        <w:topLinePunct w:val="0"/>
        <w:autoSpaceDE/>
        <w:autoSpaceDN/>
        <w:bidi w:val="0"/>
        <w:adjustRightInd/>
        <w:snapToGrid/>
        <w:spacing w:line="576" w:lineRule="exact"/>
        <w:ind w:left="0" w:leftChars="0" w:firstLine="640" w:firstLineChars="200"/>
        <w:jc w:val="both"/>
        <w:textAlignment w:val="auto"/>
        <w:rPr>
          <w:rStyle w:val="35"/>
          <w:rFonts w:hint="eastAsia" w:ascii="仿宋_GB2312" w:hAnsi="仿宋" w:eastAsia="仿宋_GB2312"/>
          <w:sz w:val="32"/>
          <w:szCs w:val="32"/>
          <w:highlight w:val="none"/>
          <w:lang w:eastAsia="zh-CN"/>
        </w:rPr>
      </w:pPr>
      <w:r>
        <w:rPr>
          <w:rStyle w:val="35"/>
          <w:rFonts w:hint="eastAsia" w:ascii="仿宋_GB2312" w:hAnsi="仿宋" w:eastAsia="仿宋_GB2312"/>
          <w:sz w:val="32"/>
          <w:szCs w:val="32"/>
          <w:highlight w:val="none"/>
          <w:lang w:val="en-US" w:eastAsia="zh-CN"/>
        </w:rPr>
        <w:t>本办法</w:t>
      </w:r>
      <w:r>
        <w:rPr>
          <w:rStyle w:val="35"/>
          <w:rFonts w:hint="default" w:ascii="仿宋_GB2312" w:hAnsi="仿宋" w:eastAsia="仿宋_GB2312"/>
          <w:color w:val="auto"/>
          <w:sz w:val="32"/>
          <w:szCs w:val="32"/>
          <w:highlight w:val="none"/>
          <w:lang w:val="en-US" w:eastAsia="zh-CN"/>
        </w:rPr>
        <w:t>自</w:t>
      </w:r>
      <w:r>
        <w:rPr>
          <w:rFonts w:hint="eastAsia" w:ascii="仿宋_GB2312" w:hAnsi="仿宋_GB2312" w:eastAsia="仿宋_GB2312" w:cs="仿宋_GB2312"/>
          <w:color w:val="auto"/>
          <w:kern w:val="2"/>
          <w:sz w:val="32"/>
          <w:szCs w:val="24"/>
          <w:highlight w:val="none"/>
          <w:lang w:val="en-US" w:eastAsia="zh-CN" w:bidi="ar-SA"/>
        </w:rPr>
        <w:t>2026年6月1日</w:t>
      </w:r>
      <w:r>
        <w:rPr>
          <w:rFonts w:hint="eastAsia" w:ascii="宋体" w:hAnsi="宋体" w:eastAsia="仿宋_GB2312" w:cs="Times New Roman"/>
          <w:color w:val="auto"/>
          <w:kern w:val="2"/>
          <w:sz w:val="32"/>
          <w:szCs w:val="24"/>
          <w:highlight w:val="none"/>
          <w:lang w:val="en-US" w:eastAsia="zh-CN" w:bidi="ar-SA"/>
        </w:rPr>
        <w:t>起</w:t>
      </w:r>
      <w:r>
        <w:rPr>
          <w:rFonts w:hint="default" w:ascii="宋体" w:hAnsi="宋体" w:eastAsia="仿宋_GB2312" w:cs="Times New Roman"/>
          <w:color w:val="auto"/>
          <w:kern w:val="2"/>
          <w:sz w:val="32"/>
          <w:szCs w:val="24"/>
          <w:highlight w:val="none"/>
          <w:lang w:eastAsia="zh-CN" w:bidi="ar-SA"/>
        </w:rPr>
        <w:t>施行</w:t>
      </w:r>
      <w:r>
        <w:rPr>
          <w:rStyle w:val="35"/>
          <w:rFonts w:hint="eastAsia" w:ascii="仿宋_GB2312" w:hAnsi="仿宋" w:eastAsia="仿宋_GB2312"/>
          <w:color w:val="auto"/>
          <w:sz w:val="32"/>
          <w:szCs w:val="32"/>
          <w:highlight w:val="none"/>
          <w:lang w:val="en-US" w:eastAsia="zh-CN"/>
        </w:rPr>
        <w:t>，《吉林</w:t>
      </w:r>
      <w:r>
        <w:rPr>
          <w:rStyle w:val="35"/>
          <w:rFonts w:hint="eastAsia" w:ascii="仿宋_GB2312" w:hAnsi="仿宋" w:eastAsia="仿宋_GB2312"/>
          <w:sz w:val="32"/>
          <w:szCs w:val="32"/>
          <w:highlight w:val="none"/>
          <w:lang w:val="en-US" w:eastAsia="zh-CN"/>
        </w:rPr>
        <w:t>省交通运输厅 吉林省发展和改革委员会关于深化道路运输价格改革的实施意见》（吉交联发〔2020〕53号）同时废止。</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9" w:lineRule="exact"/>
        <w:ind w:left="0" w:right="0" w:firstLine="0"/>
        <w:jc w:val="both"/>
        <w:textAlignment w:val="auto"/>
        <w:rPr>
          <w:rFonts w:hint="eastAsia" w:ascii="黑体" w:hAnsi="黑体" w:eastAsia="黑体" w:cs="黑体"/>
          <w:sz w:val="32"/>
          <w:szCs w:val="32"/>
          <w:lang w:val="en-US" w:eastAsia="en-US"/>
        </w:rPr>
      </w:pPr>
      <w:r>
        <w:rPr>
          <w:rFonts w:hint="eastAsia" w:ascii="黑体" w:hAnsi="黑体" w:eastAsia="黑体" w:cs="黑体"/>
          <w:spacing w:val="-6"/>
          <w:kern w:val="2"/>
          <w:sz w:val="32"/>
          <w:szCs w:val="32"/>
          <w:highlight w:val="none"/>
          <w:lang w:val="en-US" w:eastAsia="en-US" w:bidi="ar-SA"/>
        </w:rPr>
        <w:br w:type="page"/>
      </w:r>
      <w:r>
        <w:rPr>
          <w:rFonts w:hint="eastAsia" w:ascii="黑体" w:hAnsi="黑体" w:eastAsia="黑体" w:cs="黑体"/>
          <w:sz w:val="32"/>
          <w:szCs w:val="32"/>
          <w:lang w:val="en-US" w:eastAsia="en-US"/>
        </w:rPr>
        <w:t>附</w:t>
      </w:r>
      <w:r>
        <w:rPr>
          <w:rFonts w:hint="eastAsia" w:ascii="黑体" w:hAnsi="黑体" w:eastAsia="黑体" w:cs="黑体"/>
          <w:sz w:val="32"/>
          <w:szCs w:val="32"/>
          <w:lang w:val="en-US" w:eastAsia="zh-CN"/>
        </w:rPr>
        <w:t>表</w:t>
      </w:r>
    </w:p>
    <w:p>
      <w:pPr>
        <w:keepNext w:val="0"/>
        <w:keepLines w:val="0"/>
        <w:pageBreakBefore w:val="0"/>
        <w:widowControl w:val="0"/>
        <w:suppressAutoHyphens/>
        <w:kinsoku/>
        <w:wordWrap/>
        <w:overflowPunct/>
        <w:topLinePunct w:val="0"/>
        <w:autoSpaceDE/>
        <w:autoSpaceDN/>
        <w:bidi w:val="0"/>
        <w:adjustRightInd/>
        <w:snapToGrid/>
        <w:spacing w:line="500" w:lineRule="exact"/>
        <w:jc w:val="center"/>
        <w:textAlignment w:val="auto"/>
        <w:outlineLvl w:val="0"/>
        <w:rPr>
          <w:rFonts w:hint="eastAsia" w:eastAsia="方正小标宋_GBK"/>
          <w:highlight w:val="none"/>
          <w:lang w:eastAsia="zh-CN"/>
        </w:rPr>
      </w:pPr>
      <w:r>
        <w:rPr>
          <w:rFonts w:hint="eastAsia" w:ascii="方正小标宋_GBK" w:hAnsi="方正小标宋_GBK" w:eastAsia="方正小标宋_GBK" w:cs="方正小标宋_GBK"/>
          <w:b w:val="0"/>
          <w:bCs w:val="0"/>
          <w:spacing w:val="4"/>
          <w:sz w:val="44"/>
          <w:szCs w:val="44"/>
          <w:highlight w:val="none"/>
        </w:rPr>
        <w:t>吉林省道路班车客运基准价格</w:t>
      </w:r>
      <w:r>
        <w:rPr>
          <w:rFonts w:hint="eastAsia" w:ascii="方正小标宋_GBK" w:hAnsi="方正小标宋_GBK" w:eastAsia="方正小标宋_GBK" w:cs="方正小标宋_GBK"/>
          <w:b w:val="0"/>
          <w:bCs w:val="0"/>
          <w:spacing w:val="4"/>
          <w:sz w:val="44"/>
          <w:szCs w:val="44"/>
          <w:highlight w:val="none"/>
          <w:lang w:eastAsia="zh-CN"/>
        </w:rPr>
        <w:t>表</w:t>
      </w:r>
    </w:p>
    <w:tbl>
      <w:tblPr>
        <w:tblStyle w:val="36"/>
        <w:tblW w:w="82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12"/>
        <w:gridCol w:w="2040"/>
        <w:gridCol w:w="1495"/>
        <w:gridCol w:w="143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3312" w:type="dxa"/>
            <w:vMerge w:val="restart"/>
            <w:tcBorders>
              <w:bottom w:val="nil"/>
            </w:tcBorders>
            <w:noWrap w:val="0"/>
            <w:vAlign w:val="top"/>
          </w:tcPr>
          <w:p>
            <w:pPr>
              <w:keepNext w:val="0"/>
              <w:keepLines w:val="0"/>
              <w:pageBreakBefore w:val="0"/>
              <w:widowControl w:val="0"/>
              <w:suppressAutoHyphens/>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highlight w:val="none"/>
              </w:rPr>
            </w:pPr>
          </w:p>
          <w:p>
            <w:pPr>
              <w:keepNext w:val="0"/>
              <w:keepLines w:val="0"/>
              <w:pageBreakBefore w:val="0"/>
              <w:widowControl w:val="0"/>
              <w:kinsoku/>
              <w:wordWrap/>
              <w:overflowPunct/>
              <w:topLinePunct w:val="0"/>
              <w:autoSpaceDE/>
              <w:autoSpaceDN/>
              <w:bidi w:val="0"/>
              <w:adjustRightInd/>
              <w:snapToGrid/>
              <w:spacing w:before="91" w:line="400" w:lineRule="exact"/>
              <w:ind w:left="1107"/>
              <w:jc w:val="both"/>
              <w:textAlignment w:val="auto"/>
              <w:rPr>
                <w:rFonts w:hint="eastAsia" w:ascii="仿宋_GB2312" w:hAnsi="仿宋_GB2312" w:eastAsia="仿宋_GB2312" w:cs="仿宋_GB2312"/>
                <w:kern w:val="2"/>
                <w:sz w:val="28"/>
                <w:szCs w:val="28"/>
                <w:highlight w:val="none"/>
                <w:lang w:val="en-US" w:eastAsia="en-US" w:bidi="ar-SA"/>
              </w:rPr>
            </w:pPr>
            <w:r>
              <w:rPr>
                <w:rFonts w:hint="eastAsia" w:ascii="仿宋_GB2312" w:hAnsi="仿宋_GB2312" w:eastAsia="仿宋_GB2312" w:cs="仿宋_GB2312"/>
                <w:spacing w:val="-4"/>
                <w:kern w:val="2"/>
                <w:sz w:val="28"/>
                <w:szCs w:val="28"/>
                <w:highlight w:val="none"/>
                <w:lang w:val="en-US" w:eastAsia="en-US" w:bidi="ar-SA"/>
              </w:rPr>
              <w:t>客车等级</w:t>
            </w:r>
          </w:p>
        </w:tc>
        <w:tc>
          <w:tcPr>
            <w:tcW w:w="2040" w:type="dxa"/>
            <w:vMerge w:val="restart"/>
            <w:tcBorders>
              <w:bottom w:val="nil"/>
            </w:tcBorders>
            <w:noWrap w:val="0"/>
            <w:vAlign w:val="top"/>
          </w:tcPr>
          <w:p>
            <w:pPr>
              <w:keepNext w:val="0"/>
              <w:keepLines w:val="0"/>
              <w:pageBreakBefore w:val="0"/>
              <w:widowControl w:val="0"/>
              <w:suppressAutoHyphens/>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highlight w:val="none"/>
              </w:rPr>
            </w:pPr>
          </w:p>
          <w:p>
            <w:pPr>
              <w:keepNext w:val="0"/>
              <w:keepLines w:val="0"/>
              <w:pageBreakBefore w:val="0"/>
              <w:widowControl w:val="0"/>
              <w:kinsoku/>
              <w:wordWrap/>
              <w:overflowPunct/>
              <w:topLinePunct w:val="0"/>
              <w:autoSpaceDE/>
              <w:autoSpaceDN/>
              <w:bidi w:val="0"/>
              <w:adjustRightInd/>
              <w:snapToGrid/>
              <w:spacing w:before="91" w:line="400" w:lineRule="exact"/>
              <w:ind w:left="469"/>
              <w:jc w:val="both"/>
              <w:textAlignment w:val="auto"/>
              <w:rPr>
                <w:rFonts w:hint="eastAsia" w:ascii="仿宋_GB2312" w:hAnsi="仿宋_GB2312" w:eastAsia="仿宋_GB2312" w:cs="仿宋_GB2312"/>
                <w:kern w:val="2"/>
                <w:sz w:val="28"/>
                <w:szCs w:val="28"/>
                <w:highlight w:val="none"/>
                <w:lang w:val="en-US" w:eastAsia="en-US" w:bidi="ar-SA"/>
              </w:rPr>
            </w:pPr>
            <w:r>
              <w:rPr>
                <w:rFonts w:hint="eastAsia" w:ascii="仿宋_GB2312" w:hAnsi="仿宋_GB2312" w:eastAsia="仿宋_GB2312" w:cs="仿宋_GB2312"/>
                <w:spacing w:val="-3"/>
                <w:kern w:val="2"/>
                <w:sz w:val="28"/>
                <w:szCs w:val="28"/>
                <w:highlight w:val="none"/>
                <w:lang w:val="en-US" w:eastAsia="en-US" w:bidi="ar-SA"/>
              </w:rPr>
              <w:t>计算单位</w:t>
            </w:r>
          </w:p>
        </w:tc>
        <w:tc>
          <w:tcPr>
            <w:tcW w:w="2934" w:type="dxa"/>
            <w:gridSpan w:val="2"/>
            <w:noWrap w:val="0"/>
            <w:vAlign w:val="top"/>
          </w:tcPr>
          <w:p>
            <w:pPr>
              <w:keepNext w:val="0"/>
              <w:keepLines w:val="0"/>
              <w:pageBreakBefore w:val="0"/>
              <w:widowControl w:val="0"/>
              <w:kinsoku/>
              <w:wordWrap/>
              <w:overflowPunct/>
              <w:topLinePunct w:val="0"/>
              <w:autoSpaceDE/>
              <w:autoSpaceDN/>
              <w:bidi w:val="0"/>
              <w:adjustRightInd/>
              <w:snapToGrid/>
              <w:spacing w:before="177" w:line="400" w:lineRule="exact"/>
              <w:ind w:left="915"/>
              <w:jc w:val="both"/>
              <w:textAlignment w:val="auto"/>
              <w:rPr>
                <w:rFonts w:hint="eastAsia" w:ascii="仿宋_GB2312" w:hAnsi="仿宋_GB2312" w:eastAsia="仿宋_GB2312" w:cs="仿宋_GB2312"/>
                <w:kern w:val="2"/>
                <w:sz w:val="28"/>
                <w:szCs w:val="28"/>
                <w:highlight w:val="none"/>
                <w:lang w:val="en-US" w:eastAsia="en-US" w:bidi="ar-SA"/>
              </w:rPr>
            </w:pPr>
            <w:r>
              <w:rPr>
                <w:rFonts w:hint="eastAsia" w:ascii="仿宋_GB2312" w:hAnsi="仿宋_GB2312" w:eastAsia="仿宋_GB2312" w:cs="仿宋_GB2312"/>
                <w:spacing w:val="-3"/>
                <w:kern w:val="2"/>
                <w:sz w:val="28"/>
                <w:szCs w:val="28"/>
                <w:highlight w:val="none"/>
                <w:lang w:val="en-US" w:eastAsia="en-US" w:bidi="ar-SA"/>
              </w:rPr>
              <w:t>基准运价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7" w:hRule="atLeast"/>
        </w:trPr>
        <w:tc>
          <w:tcPr>
            <w:tcW w:w="3312" w:type="dxa"/>
            <w:vMerge w:val="continue"/>
            <w:tcBorders>
              <w:top w:val="nil"/>
            </w:tcBorders>
            <w:noWrap w:val="0"/>
            <w:vAlign w:val="top"/>
          </w:tcPr>
          <w:p>
            <w:pPr>
              <w:keepNext w:val="0"/>
              <w:keepLines w:val="0"/>
              <w:pageBreakBefore w:val="0"/>
              <w:widowControl w:val="0"/>
              <w:suppressAutoHyphens/>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highlight w:val="none"/>
              </w:rPr>
            </w:pPr>
          </w:p>
        </w:tc>
        <w:tc>
          <w:tcPr>
            <w:tcW w:w="2040" w:type="dxa"/>
            <w:vMerge w:val="continue"/>
            <w:tcBorders>
              <w:top w:val="nil"/>
            </w:tcBorders>
            <w:noWrap w:val="0"/>
            <w:vAlign w:val="top"/>
          </w:tcPr>
          <w:p>
            <w:pPr>
              <w:keepNext w:val="0"/>
              <w:keepLines w:val="0"/>
              <w:pageBreakBefore w:val="0"/>
              <w:widowControl w:val="0"/>
              <w:suppressAutoHyphens/>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highlight w:val="none"/>
              </w:rPr>
            </w:pPr>
          </w:p>
        </w:tc>
        <w:tc>
          <w:tcPr>
            <w:tcW w:w="1495" w:type="dxa"/>
            <w:noWrap w:val="0"/>
            <w:vAlign w:val="top"/>
          </w:tcPr>
          <w:p>
            <w:pPr>
              <w:keepNext w:val="0"/>
              <w:keepLines w:val="0"/>
              <w:pageBreakBefore w:val="0"/>
              <w:widowControl w:val="0"/>
              <w:kinsoku/>
              <w:wordWrap/>
              <w:overflowPunct/>
              <w:topLinePunct w:val="0"/>
              <w:autoSpaceDE/>
              <w:autoSpaceDN/>
              <w:bidi w:val="0"/>
              <w:adjustRightInd/>
              <w:snapToGrid/>
              <w:spacing w:before="173" w:line="400" w:lineRule="exact"/>
              <w:ind w:left="477"/>
              <w:jc w:val="both"/>
              <w:textAlignment w:val="auto"/>
              <w:rPr>
                <w:rFonts w:hint="eastAsia" w:ascii="仿宋_GB2312" w:hAnsi="仿宋_GB2312" w:eastAsia="仿宋_GB2312" w:cs="仿宋_GB2312"/>
                <w:kern w:val="2"/>
                <w:sz w:val="28"/>
                <w:szCs w:val="28"/>
                <w:highlight w:val="none"/>
                <w:lang w:val="en-US" w:eastAsia="en-US" w:bidi="ar-SA"/>
              </w:rPr>
            </w:pPr>
            <w:r>
              <w:rPr>
                <w:rFonts w:hint="eastAsia" w:ascii="仿宋_GB2312" w:hAnsi="仿宋_GB2312" w:eastAsia="仿宋_GB2312" w:cs="仿宋_GB2312"/>
                <w:spacing w:val="-5"/>
                <w:kern w:val="2"/>
                <w:sz w:val="28"/>
                <w:szCs w:val="28"/>
                <w:highlight w:val="none"/>
                <w:lang w:val="en-US" w:eastAsia="en-US" w:bidi="ar-SA"/>
              </w:rPr>
              <w:t>平原</w:t>
            </w:r>
          </w:p>
        </w:tc>
        <w:tc>
          <w:tcPr>
            <w:tcW w:w="1439" w:type="dxa"/>
            <w:noWrap w:val="0"/>
            <w:vAlign w:val="top"/>
          </w:tcPr>
          <w:p>
            <w:pPr>
              <w:keepNext w:val="0"/>
              <w:keepLines w:val="0"/>
              <w:pageBreakBefore w:val="0"/>
              <w:widowControl w:val="0"/>
              <w:kinsoku/>
              <w:wordWrap/>
              <w:overflowPunct/>
              <w:topLinePunct w:val="0"/>
              <w:autoSpaceDE/>
              <w:autoSpaceDN/>
              <w:bidi w:val="0"/>
              <w:adjustRightInd/>
              <w:snapToGrid/>
              <w:spacing w:before="172" w:line="400" w:lineRule="exact"/>
              <w:ind w:left="473"/>
              <w:jc w:val="both"/>
              <w:textAlignment w:val="auto"/>
              <w:rPr>
                <w:rFonts w:hint="eastAsia" w:ascii="仿宋_GB2312" w:hAnsi="仿宋_GB2312" w:eastAsia="仿宋_GB2312" w:cs="仿宋_GB2312"/>
                <w:kern w:val="2"/>
                <w:sz w:val="28"/>
                <w:szCs w:val="28"/>
                <w:highlight w:val="none"/>
                <w:lang w:val="en-US" w:eastAsia="en-US" w:bidi="ar-SA"/>
              </w:rPr>
            </w:pPr>
            <w:r>
              <w:rPr>
                <w:rFonts w:hint="eastAsia" w:ascii="仿宋_GB2312" w:hAnsi="仿宋_GB2312" w:eastAsia="仿宋_GB2312" w:cs="仿宋_GB2312"/>
                <w:spacing w:val="-18"/>
                <w:kern w:val="2"/>
                <w:sz w:val="28"/>
                <w:szCs w:val="28"/>
                <w:highlight w:val="none"/>
                <w:lang w:val="en-US" w:eastAsia="en-US" w:bidi="ar-SA"/>
              </w:rPr>
              <w:t>山区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3312" w:type="dxa"/>
            <w:noWrap w:val="0"/>
            <w:vAlign w:val="top"/>
          </w:tcPr>
          <w:p>
            <w:pPr>
              <w:keepNext w:val="0"/>
              <w:keepLines w:val="0"/>
              <w:pageBreakBefore w:val="0"/>
              <w:widowControl w:val="0"/>
              <w:kinsoku/>
              <w:wordWrap/>
              <w:overflowPunct/>
              <w:topLinePunct w:val="0"/>
              <w:autoSpaceDE/>
              <w:autoSpaceDN/>
              <w:bidi w:val="0"/>
              <w:adjustRightInd/>
              <w:snapToGrid/>
              <w:spacing w:before="172" w:line="400" w:lineRule="exact"/>
              <w:ind w:left="1104"/>
              <w:jc w:val="both"/>
              <w:textAlignment w:val="auto"/>
              <w:rPr>
                <w:rFonts w:hint="eastAsia" w:ascii="仿宋_GB2312" w:hAnsi="仿宋_GB2312" w:eastAsia="仿宋_GB2312" w:cs="仿宋_GB2312"/>
                <w:kern w:val="2"/>
                <w:sz w:val="28"/>
                <w:szCs w:val="28"/>
                <w:highlight w:val="none"/>
                <w:lang w:val="en-US" w:eastAsia="en-US" w:bidi="ar-SA"/>
              </w:rPr>
            </w:pPr>
            <w:r>
              <w:rPr>
                <w:rFonts w:hint="eastAsia" w:ascii="仿宋_GB2312" w:hAnsi="仿宋_GB2312" w:eastAsia="仿宋_GB2312" w:cs="仿宋_GB2312"/>
                <w:spacing w:val="-3"/>
                <w:kern w:val="2"/>
                <w:sz w:val="28"/>
                <w:szCs w:val="28"/>
                <w:highlight w:val="none"/>
                <w:lang w:val="en-US" w:eastAsia="en-US" w:bidi="ar-SA"/>
              </w:rPr>
              <w:t>普通客车</w:t>
            </w:r>
          </w:p>
        </w:tc>
        <w:tc>
          <w:tcPr>
            <w:tcW w:w="2040" w:type="dxa"/>
            <w:vMerge w:val="restart"/>
            <w:tcBorders>
              <w:bottom w:val="nil"/>
            </w:tcBorders>
            <w:noWrap w:val="0"/>
            <w:vAlign w:val="top"/>
          </w:tcPr>
          <w:p>
            <w:pPr>
              <w:keepNext w:val="0"/>
              <w:keepLines w:val="0"/>
              <w:pageBreakBefore w:val="0"/>
              <w:widowControl w:val="0"/>
              <w:suppressAutoHyphens/>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highlight w:val="none"/>
              </w:rPr>
            </w:pPr>
          </w:p>
          <w:p>
            <w:pPr>
              <w:keepNext w:val="0"/>
              <w:keepLines w:val="0"/>
              <w:pageBreakBefore w:val="0"/>
              <w:widowControl w:val="0"/>
              <w:suppressAutoHyphens/>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highlight w:val="none"/>
              </w:rPr>
            </w:pPr>
          </w:p>
          <w:p>
            <w:pPr>
              <w:keepNext w:val="0"/>
              <w:keepLines w:val="0"/>
              <w:pageBreakBefore w:val="0"/>
              <w:widowControl w:val="0"/>
              <w:kinsoku/>
              <w:wordWrap/>
              <w:overflowPunct/>
              <w:topLinePunct w:val="0"/>
              <w:autoSpaceDE/>
              <w:autoSpaceDN/>
              <w:bidi w:val="0"/>
              <w:adjustRightInd/>
              <w:snapToGrid/>
              <w:spacing w:before="91" w:line="400" w:lineRule="exact"/>
              <w:ind w:left="401"/>
              <w:jc w:val="both"/>
              <w:textAlignment w:val="auto"/>
              <w:rPr>
                <w:rFonts w:hint="eastAsia" w:ascii="仿宋_GB2312" w:hAnsi="仿宋_GB2312" w:eastAsia="仿宋_GB2312" w:cs="仿宋_GB2312"/>
                <w:spacing w:val="-3"/>
                <w:kern w:val="2"/>
                <w:sz w:val="28"/>
                <w:szCs w:val="28"/>
                <w:highlight w:val="none"/>
                <w:lang w:val="en-US" w:eastAsia="en-US" w:bidi="ar-SA"/>
              </w:rPr>
            </w:pPr>
          </w:p>
          <w:p>
            <w:pPr>
              <w:keepNext w:val="0"/>
              <w:keepLines w:val="0"/>
              <w:pageBreakBefore w:val="0"/>
              <w:widowControl w:val="0"/>
              <w:kinsoku/>
              <w:wordWrap/>
              <w:overflowPunct/>
              <w:topLinePunct w:val="0"/>
              <w:autoSpaceDE/>
              <w:autoSpaceDN/>
              <w:bidi w:val="0"/>
              <w:adjustRightInd/>
              <w:snapToGrid/>
              <w:spacing w:before="91" w:line="400" w:lineRule="exact"/>
              <w:ind w:left="401"/>
              <w:jc w:val="both"/>
              <w:textAlignment w:val="auto"/>
              <w:rPr>
                <w:rFonts w:hint="eastAsia" w:ascii="仿宋_GB2312" w:hAnsi="仿宋_GB2312" w:eastAsia="仿宋_GB2312" w:cs="仿宋_GB2312"/>
                <w:kern w:val="2"/>
                <w:sz w:val="28"/>
                <w:szCs w:val="28"/>
                <w:highlight w:val="none"/>
                <w:lang w:val="en-US" w:eastAsia="en-US" w:bidi="ar-SA"/>
              </w:rPr>
            </w:pPr>
            <w:r>
              <w:rPr>
                <w:rFonts w:hint="eastAsia" w:ascii="仿宋_GB2312" w:hAnsi="仿宋_GB2312" w:eastAsia="仿宋_GB2312" w:cs="仿宋_GB2312"/>
                <w:spacing w:val="-3"/>
                <w:kern w:val="2"/>
                <w:sz w:val="28"/>
                <w:szCs w:val="28"/>
                <w:highlight w:val="none"/>
                <w:lang w:val="en-US" w:eastAsia="en-US" w:bidi="ar-SA"/>
              </w:rPr>
              <w:t>元/人公里</w:t>
            </w:r>
          </w:p>
        </w:tc>
        <w:tc>
          <w:tcPr>
            <w:tcW w:w="1495" w:type="dxa"/>
            <w:noWrap w:val="0"/>
            <w:vAlign w:val="top"/>
          </w:tcPr>
          <w:p>
            <w:pPr>
              <w:keepNext w:val="0"/>
              <w:keepLines w:val="0"/>
              <w:pageBreakBefore w:val="0"/>
              <w:widowControl w:val="0"/>
              <w:kinsoku/>
              <w:wordWrap/>
              <w:overflowPunct/>
              <w:topLinePunct w:val="0"/>
              <w:autoSpaceDE/>
              <w:autoSpaceDN/>
              <w:bidi w:val="0"/>
              <w:adjustRightInd/>
              <w:snapToGrid/>
              <w:spacing w:before="173" w:line="400" w:lineRule="exact"/>
              <w:ind w:left="339"/>
              <w:jc w:val="both"/>
              <w:textAlignment w:val="auto"/>
              <w:rPr>
                <w:rFonts w:hint="eastAsia" w:ascii="仿宋_GB2312" w:hAnsi="仿宋_GB2312" w:eastAsia="仿宋_GB2312" w:cs="仿宋_GB2312"/>
                <w:kern w:val="2"/>
                <w:sz w:val="28"/>
                <w:szCs w:val="28"/>
                <w:highlight w:val="none"/>
                <w:lang w:val="en-US" w:eastAsia="en-US" w:bidi="ar-SA"/>
              </w:rPr>
            </w:pPr>
            <w:r>
              <w:rPr>
                <w:rFonts w:hint="eastAsia" w:ascii="仿宋_GB2312" w:hAnsi="仿宋_GB2312" w:eastAsia="仿宋_GB2312" w:cs="仿宋_GB2312"/>
                <w:spacing w:val="-2"/>
                <w:kern w:val="2"/>
                <w:sz w:val="28"/>
                <w:szCs w:val="28"/>
                <w:highlight w:val="none"/>
                <w:lang w:val="en-US" w:eastAsia="en-US" w:bidi="ar-SA"/>
              </w:rPr>
              <w:t>0.0874</w:t>
            </w:r>
          </w:p>
        </w:tc>
        <w:tc>
          <w:tcPr>
            <w:tcW w:w="1439" w:type="dxa"/>
            <w:noWrap w:val="0"/>
            <w:vAlign w:val="top"/>
          </w:tcPr>
          <w:p>
            <w:pPr>
              <w:keepNext w:val="0"/>
              <w:keepLines w:val="0"/>
              <w:pageBreakBefore w:val="0"/>
              <w:widowControl w:val="0"/>
              <w:kinsoku/>
              <w:wordWrap/>
              <w:overflowPunct/>
              <w:topLinePunct w:val="0"/>
              <w:autoSpaceDE/>
              <w:autoSpaceDN/>
              <w:bidi w:val="0"/>
              <w:adjustRightInd/>
              <w:snapToGrid/>
              <w:spacing w:before="173" w:line="400" w:lineRule="exact"/>
              <w:ind w:left="310"/>
              <w:jc w:val="both"/>
              <w:textAlignment w:val="auto"/>
              <w:rPr>
                <w:rFonts w:hint="eastAsia" w:ascii="仿宋_GB2312" w:hAnsi="仿宋_GB2312" w:eastAsia="仿宋_GB2312" w:cs="仿宋_GB2312"/>
                <w:kern w:val="2"/>
                <w:sz w:val="28"/>
                <w:szCs w:val="28"/>
                <w:highlight w:val="none"/>
                <w:lang w:val="en-US" w:eastAsia="en-US" w:bidi="ar-SA"/>
              </w:rPr>
            </w:pPr>
            <w:r>
              <w:rPr>
                <w:rFonts w:hint="eastAsia" w:ascii="仿宋_GB2312" w:hAnsi="仿宋_GB2312" w:eastAsia="仿宋_GB2312" w:cs="仿宋_GB2312"/>
                <w:spacing w:val="-2"/>
                <w:kern w:val="2"/>
                <w:sz w:val="28"/>
                <w:szCs w:val="28"/>
                <w:highlight w:val="none"/>
                <w:lang w:val="en-US" w:eastAsia="en-US" w:bidi="ar-SA"/>
              </w:rPr>
              <w:t>0.0997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3312" w:type="dxa"/>
            <w:noWrap w:val="0"/>
            <w:vAlign w:val="top"/>
          </w:tcPr>
          <w:p>
            <w:pPr>
              <w:keepNext w:val="0"/>
              <w:keepLines w:val="0"/>
              <w:pageBreakBefore w:val="0"/>
              <w:widowControl w:val="0"/>
              <w:kinsoku/>
              <w:wordWrap/>
              <w:overflowPunct/>
              <w:topLinePunct w:val="0"/>
              <w:autoSpaceDE/>
              <w:autoSpaceDN/>
              <w:bidi w:val="0"/>
              <w:adjustRightInd/>
              <w:snapToGrid/>
              <w:spacing w:before="173" w:line="400" w:lineRule="exact"/>
              <w:ind w:left="1131"/>
              <w:jc w:val="both"/>
              <w:textAlignment w:val="auto"/>
              <w:rPr>
                <w:rFonts w:hint="eastAsia" w:ascii="仿宋_GB2312" w:hAnsi="仿宋_GB2312" w:eastAsia="仿宋_GB2312" w:cs="仿宋_GB2312"/>
                <w:kern w:val="2"/>
                <w:sz w:val="28"/>
                <w:szCs w:val="28"/>
                <w:highlight w:val="none"/>
                <w:lang w:val="en-US" w:eastAsia="en-US" w:bidi="ar-SA"/>
              </w:rPr>
            </w:pPr>
            <w:r>
              <w:rPr>
                <w:rFonts w:hint="eastAsia" w:ascii="仿宋_GB2312" w:hAnsi="仿宋_GB2312" w:eastAsia="仿宋_GB2312" w:cs="仿宋_GB2312"/>
                <w:spacing w:val="-10"/>
                <w:kern w:val="2"/>
                <w:sz w:val="28"/>
                <w:szCs w:val="28"/>
                <w:highlight w:val="none"/>
                <w:lang w:val="en-US" w:eastAsia="en-US" w:bidi="ar-SA"/>
              </w:rPr>
              <w:t>中级客车</w:t>
            </w:r>
          </w:p>
        </w:tc>
        <w:tc>
          <w:tcPr>
            <w:tcW w:w="2040" w:type="dxa"/>
            <w:vMerge w:val="continue"/>
            <w:tcBorders>
              <w:top w:val="nil"/>
              <w:bottom w:val="nil"/>
            </w:tcBorders>
            <w:noWrap w:val="0"/>
            <w:vAlign w:val="top"/>
          </w:tcPr>
          <w:p>
            <w:pPr>
              <w:keepNext w:val="0"/>
              <w:keepLines w:val="0"/>
              <w:pageBreakBefore w:val="0"/>
              <w:widowControl w:val="0"/>
              <w:suppressAutoHyphens/>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highlight w:val="none"/>
              </w:rPr>
            </w:pPr>
          </w:p>
        </w:tc>
        <w:tc>
          <w:tcPr>
            <w:tcW w:w="1495" w:type="dxa"/>
            <w:noWrap w:val="0"/>
            <w:vAlign w:val="top"/>
          </w:tcPr>
          <w:p>
            <w:pPr>
              <w:keepNext w:val="0"/>
              <w:keepLines w:val="0"/>
              <w:pageBreakBefore w:val="0"/>
              <w:widowControl w:val="0"/>
              <w:kinsoku/>
              <w:wordWrap/>
              <w:overflowPunct/>
              <w:topLinePunct w:val="0"/>
              <w:autoSpaceDE/>
              <w:autoSpaceDN/>
              <w:bidi w:val="0"/>
              <w:adjustRightInd/>
              <w:snapToGrid/>
              <w:spacing w:before="174" w:line="400" w:lineRule="exact"/>
              <w:ind w:left="339"/>
              <w:jc w:val="both"/>
              <w:textAlignment w:val="auto"/>
              <w:rPr>
                <w:rFonts w:hint="eastAsia" w:ascii="仿宋_GB2312" w:hAnsi="仿宋_GB2312" w:eastAsia="仿宋_GB2312" w:cs="仿宋_GB2312"/>
                <w:kern w:val="2"/>
                <w:sz w:val="28"/>
                <w:szCs w:val="28"/>
                <w:highlight w:val="none"/>
                <w:lang w:val="en-US" w:eastAsia="en-US" w:bidi="ar-SA"/>
              </w:rPr>
            </w:pPr>
            <w:r>
              <w:rPr>
                <w:rFonts w:hint="eastAsia" w:ascii="仿宋_GB2312" w:hAnsi="仿宋_GB2312" w:eastAsia="仿宋_GB2312" w:cs="仿宋_GB2312"/>
                <w:spacing w:val="-2"/>
                <w:kern w:val="2"/>
                <w:sz w:val="28"/>
                <w:szCs w:val="28"/>
                <w:highlight w:val="none"/>
                <w:lang w:val="en-US" w:eastAsia="en-US" w:bidi="ar-SA"/>
              </w:rPr>
              <w:t>0.1044</w:t>
            </w:r>
          </w:p>
        </w:tc>
        <w:tc>
          <w:tcPr>
            <w:tcW w:w="1439" w:type="dxa"/>
            <w:noWrap w:val="0"/>
            <w:vAlign w:val="top"/>
          </w:tcPr>
          <w:p>
            <w:pPr>
              <w:keepNext w:val="0"/>
              <w:keepLines w:val="0"/>
              <w:pageBreakBefore w:val="0"/>
              <w:widowControl w:val="0"/>
              <w:kinsoku/>
              <w:wordWrap/>
              <w:overflowPunct/>
              <w:topLinePunct w:val="0"/>
              <w:autoSpaceDE/>
              <w:autoSpaceDN/>
              <w:bidi w:val="0"/>
              <w:adjustRightInd/>
              <w:snapToGrid/>
              <w:spacing w:before="174" w:line="400" w:lineRule="exact"/>
              <w:ind w:left="310"/>
              <w:jc w:val="both"/>
              <w:textAlignment w:val="auto"/>
              <w:rPr>
                <w:rFonts w:hint="eastAsia" w:ascii="仿宋_GB2312" w:hAnsi="仿宋_GB2312" w:eastAsia="仿宋_GB2312" w:cs="仿宋_GB2312"/>
                <w:kern w:val="2"/>
                <w:sz w:val="28"/>
                <w:szCs w:val="28"/>
                <w:highlight w:val="none"/>
                <w:lang w:val="en-US" w:eastAsia="en-US" w:bidi="ar-SA"/>
              </w:rPr>
            </w:pPr>
            <w:r>
              <w:rPr>
                <w:rFonts w:hint="eastAsia" w:ascii="仿宋_GB2312" w:hAnsi="仿宋_GB2312" w:eastAsia="仿宋_GB2312" w:cs="仿宋_GB2312"/>
                <w:spacing w:val="-2"/>
                <w:kern w:val="2"/>
                <w:sz w:val="28"/>
                <w:szCs w:val="28"/>
                <w:highlight w:val="none"/>
                <w:lang w:val="en-US" w:eastAsia="en-US" w:bidi="ar-SA"/>
              </w:rPr>
              <w:t>0.1207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3312" w:type="dxa"/>
            <w:noWrap w:val="0"/>
            <w:vAlign w:val="top"/>
          </w:tcPr>
          <w:p>
            <w:pPr>
              <w:keepNext w:val="0"/>
              <w:keepLines w:val="0"/>
              <w:pageBreakBefore w:val="0"/>
              <w:widowControl w:val="0"/>
              <w:kinsoku/>
              <w:wordWrap/>
              <w:overflowPunct/>
              <w:topLinePunct w:val="0"/>
              <w:autoSpaceDE/>
              <w:autoSpaceDN/>
              <w:bidi w:val="0"/>
              <w:adjustRightInd/>
              <w:snapToGrid/>
              <w:spacing w:before="174" w:line="400" w:lineRule="exact"/>
              <w:ind w:left="971"/>
              <w:jc w:val="both"/>
              <w:textAlignment w:val="auto"/>
              <w:rPr>
                <w:rFonts w:hint="eastAsia" w:ascii="仿宋_GB2312" w:hAnsi="仿宋_GB2312" w:eastAsia="仿宋_GB2312" w:cs="仿宋_GB2312"/>
                <w:kern w:val="2"/>
                <w:sz w:val="28"/>
                <w:szCs w:val="28"/>
                <w:highlight w:val="none"/>
                <w:lang w:val="en-US" w:eastAsia="en-US" w:bidi="ar-SA"/>
              </w:rPr>
            </w:pPr>
            <w:r>
              <w:rPr>
                <w:rFonts w:hint="eastAsia" w:ascii="仿宋_GB2312" w:hAnsi="仿宋_GB2312" w:eastAsia="仿宋_GB2312" w:cs="仿宋_GB2312"/>
                <w:spacing w:val="-4"/>
                <w:kern w:val="2"/>
                <w:sz w:val="28"/>
                <w:szCs w:val="28"/>
                <w:highlight w:val="none"/>
                <w:lang w:val="en-US" w:eastAsia="en-US" w:bidi="ar-SA"/>
              </w:rPr>
              <w:t>高一级客车</w:t>
            </w:r>
          </w:p>
        </w:tc>
        <w:tc>
          <w:tcPr>
            <w:tcW w:w="2040" w:type="dxa"/>
            <w:vMerge w:val="continue"/>
            <w:tcBorders>
              <w:top w:val="nil"/>
              <w:bottom w:val="nil"/>
            </w:tcBorders>
            <w:noWrap w:val="0"/>
            <w:vAlign w:val="top"/>
          </w:tcPr>
          <w:p>
            <w:pPr>
              <w:keepNext w:val="0"/>
              <w:keepLines w:val="0"/>
              <w:pageBreakBefore w:val="0"/>
              <w:widowControl w:val="0"/>
              <w:suppressAutoHyphens/>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highlight w:val="none"/>
              </w:rPr>
            </w:pPr>
          </w:p>
        </w:tc>
        <w:tc>
          <w:tcPr>
            <w:tcW w:w="2934" w:type="dxa"/>
            <w:gridSpan w:val="2"/>
            <w:noWrap w:val="0"/>
            <w:vAlign w:val="top"/>
          </w:tcPr>
          <w:p>
            <w:pPr>
              <w:keepNext w:val="0"/>
              <w:keepLines w:val="0"/>
              <w:pageBreakBefore w:val="0"/>
              <w:widowControl w:val="0"/>
              <w:kinsoku/>
              <w:wordWrap/>
              <w:overflowPunct/>
              <w:topLinePunct w:val="0"/>
              <w:autoSpaceDE/>
              <w:autoSpaceDN/>
              <w:bidi w:val="0"/>
              <w:adjustRightInd/>
              <w:snapToGrid/>
              <w:spacing w:before="174" w:line="400" w:lineRule="exact"/>
              <w:ind w:left="1057"/>
              <w:jc w:val="both"/>
              <w:textAlignment w:val="auto"/>
              <w:rPr>
                <w:rFonts w:hint="eastAsia" w:ascii="仿宋_GB2312" w:hAnsi="仿宋_GB2312" w:eastAsia="仿宋_GB2312" w:cs="仿宋_GB2312"/>
                <w:kern w:val="2"/>
                <w:sz w:val="28"/>
                <w:szCs w:val="28"/>
                <w:highlight w:val="none"/>
                <w:lang w:val="en-US" w:eastAsia="en-US" w:bidi="ar-SA"/>
              </w:rPr>
            </w:pPr>
            <w:r>
              <w:rPr>
                <w:rFonts w:hint="eastAsia" w:ascii="仿宋_GB2312" w:hAnsi="仿宋_GB2312" w:eastAsia="仿宋_GB2312" w:cs="仿宋_GB2312"/>
                <w:spacing w:val="-2"/>
                <w:kern w:val="2"/>
                <w:sz w:val="28"/>
                <w:szCs w:val="28"/>
                <w:highlight w:val="none"/>
                <w:lang w:val="en-US" w:eastAsia="en-US" w:bidi="ar-SA"/>
              </w:rPr>
              <w:t>0.1447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6" w:hRule="atLeast"/>
        </w:trPr>
        <w:tc>
          <w:tcPr>
            <w:tcW w:w="3312" w:type="dxa"/>
            <w:noWrap w:val="0"/>
            <w:vAlign w:val="top"/>
          </w:tcPr>
          <w:p>
            <w:pPr>
              <w:keepNext w:val="0"/>
              <w:keepLines w:val="0"/>
              <w:pageBreakBefore w:val="0"/>
              <w:widowControl w:val="0"/>
              <w:kinsoku/>
              <w:wordWrap/>
              <w:overflowPunct/>
              <w:topLinePunct w:val="0"/>
              <w:autoSpaceDE/>
              <w:autoSpaceDN/>
              <w:bidi w:val="0"/>
              <w:adjustRightInd/>
              <w:snapToGrid/>
              <w:spacing w:before="176" w:line="400" w:lineRule="exact"/>
              <w:ind w:left="971"/>
              <w:jc w:val="both"/>
              <w:textAlignment w:val="auto"/>
              <w:rPr>
                <w:rFonts w:hint="eastAsia" w:ascii="仿宋_GB2312" w:hAnsi="仿宋_GB2312" w:eastAsia="仿宋_GB2312" w:cs="仿宋_GB2312"/>
                <w:kern w:val="2"/>
                <w:sz w:val="28"/>
                <w:szCs w:val="28"/>
                <w:highlight w:val="none"/>
                <w:lang w:val="en-US" w:eastAsia="en-US" w:bidi="ar-SA"/>
              </w:rPr>
            </w:pPr>
            <w:r>
              <w:rPr>
                <w:rFonts w:hint="eastAsia" w:ascii="仿宋_GB2312" w:hAnsi="仿宋_GB2312" w:eastAsia="仿宋_GB2312" w:cs="仿宋_GB2312"/>
                <w:spacing w:val="-4"/>
                <w:kern w:val="2"/>
                <w:sz w:val="28"/>
                <w:szCs w:val="28"/>
                <w:highlight w:val="none"/>
                <w:lang w:val="en-US" w:eastAsia="en-US" w:bidi="ar-SA"/>
              </w:rPr>
              <w:t>高二级客车</w:t>
            </w:r>
          </w:p>
        </w:tc>
        <w:tc>
          <w:tcPr>
            <w:tcW w:w="2040" w:type="dxa"/>
            <w:vMerge w:val="continue"/>
            <w:tcBorders>
              <w:top w:val="nil"/>
              <w:bottom w:val="nil"/>
            </w:tcBorders>
            <w:noWrap w:val="0"/>
            <w:vAlign w:val="top"/>
          </w:tcPr>
          <w:p>
            <w:pPr>
              <w:keepNext w:val="0"/>
              <w:keepLines w:val="0"/>
              <w:pageBreakBefore w:val="0"/>
              <w:widowControl w:val="0"/>
              <w:suppressAutoHyphens/>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highlight w:val="none"/>
              </w:rPr>
            </w:pPr>
          </w:p>
        </w:tc>
        <w:tc>
          <w:tcPr>
            <w:tcW w:w="2934" w:type="dxa"/>
            <w:gridSpan w:val="2"/>
            <w:noWrap w:val="0"/>
            <w:vAlign w:val="top"/>
          </w:tcPr>
          <w:p>
            <w:pPr>
              <w:keepNext w:val="0"/>
              <w:keepLines w:val="0"/>
              <w:pageBreakBefore w:val="0"/>
              <w:widowControl w:val="0"/>
              <w:kinsoku/>
              <w:wordWrap/>
              <w:overflowPunct/>
              <w:topLinePunct w:val="0"/>
              <w:autoSpaceDE/>
              <w:autoSpaceDN/>
              <w:bidi w:val="0"/>
              <w:adjustRightInd/>
              <w:snapToGrid/>
              <w:spacing w:before="176" w:line="400" w:lineRule="exact"/>
              <w:ind w:left="1057"/>
              <w:jc w:val="both"/>
              <w:textAlignment w:val="auto"/>
              <w:rPr>
                <w:rFonts w:hint="eastAsia" w:ascii="仿宋_GB2312" w:hAnsi="仿宋_GB2312" w:eastAsia="仿宋_GB2312" w:cs="仿宋_GB2312"/>
                <w:kern w:val="2"/>
                <w:sz w:val="28"/>
                <w:szCs w:val="28"/>
                <w:highlight w:val="none"/>
                <w:lang w:val="en-US" w:eastAsia="en-US" w:bidi="ar-SA"/>
              </w:rPr>
            </w:pPr>
            <w:r>
              <w:rPr>
                <w:rFonts w:hint="eastAsia" w:ascii="仿宋_GB2312" w:hAnsi="仿宋_GB2312" w:eastAsia="仿宋_GB2312" w:cs="仿宋_GB2312"/>
                <w:spacing w:val="-2"/>
                <w:kern w:val="2"/>
                <w:sz w:val="28"/>
                <w:szCs w:val="28"/>
                <w:highlight w:val="none"/>
                <w:lang w:val="en-US" w:eastAsia="en-US" w:bidi="ar-SA"/>
              </w:rPr>
              <w:t>0.1847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3312" w:type="dxa"/>
            <w:noWrap w:val="0"/>
            <w:vAlign w:val="top"/>
          </w:tcPr>
          <w:p>
            <w:pPr>
              <w:keepNext w:val="0"/>
              <w:keepLines w:val="0"/>
              <w:pageBreakBefore w:val="0"/>
              <w:widowControl w:val="0"/>
              <w:kinsoku/>
              <w:wordWrap/>
              <w:overflowPunct/>
              <w:topLinePunct w:val="0"/>
              <w:autoSpaceDE/>
              <w:autoSpaceDN/>
              <w:bidi w:val="0"/>
              <w:adjustRightInd/>
              <w:snapToGrid/>
              <w:spacing w:before="176" w:line="400" w:lineRule="exact"/>
              <w:ind w:left="971"/>
              <w:jc w:val="both"/>
              <w:textAlignment w:val="auto"/>
              <w:rPr>
                <w:rFonts w:hint="eastAsia" w:ascii="仿宋_GB2312" w:hAnsi="仿宋_GB2312" w:eastAsia="仿宋_GB2312" w:cs="仿宋_GB2312"/>
                <w:kern w:val="2"/>
                <w:sz w:val="28"/>
                <w:szCs w:val="28"/>
                <w:highlight w:val="none"/>
                <w:lang w:val="en-US" w:eastAsia="en-US" w:bidi="ar-SA"/>
              </w:rPr>
            </w:pPr>
            <w:r>
              <w:rPr>
                <w:rFonts w:hint="eastAsia" w:ascii="仿宋_GB2312" w:hAnsi="仿宋_GB2312" w:eastAsia="仿宋_GB2312" w:cs="仿宋_GB2312"/>
                <w:spacing w:val="-4"/>
                <w:kern w:val="2"/>
                <w:sz w:val="28"/>
                <w:szCs w:val="28"/>
                <w:highlight w:val="none"/>
                <w:lang w:val="en-US" w:eastAsia="en-US" w:bidi="ar-SA"/>
              </w:rPr>
              <w:t>高三级客车</w:t>
            </w:r>
          </w:p>
        </w:tc>
        <w:tc>
          <w:tcPr>
            <w:tcW w:w="2040" w:type="dxa"/>
            <w:vMerge w:val="continue"/>
            <w:tcBorders>
              <w:top w:val="nil"/>
            </w:tcBorders>
            <w:noWrap w:val="0"/>
            <w:vAlign w:val="top"/>
          </w:tcPr>
          <w:p>
            <w:pPr>
              <w:keepNext w:val="0"/>
              <w:keepLines w:val="0"/>
              <w:pageBreakBefore w:val="0"/>
              <w:widowControl w:val="0"/>
              <w:suppressAutoHyphens/>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sz w:val="28"/>
                <w:szCs w:val="28"/>
                <w:highlight w:val="none"/>
              </w:rPr>
            </w:pPr>
          </w:p>
        </w:tc>
        <w:tc>
          <w:tcPr>
            <w:tcW w:w="2934" w:type="dxa"/>
            <w:gridSpan w:val="2"/>
            <w:noWrap w:val="0"/>
            <w:vAlign w:val="top"/>
          </w:tcPr>
          <w:p>
            <w:pPr>
              <w:keepNext w:val="0"/>
              <w:keepLines w:val="0"/>
              <w:pageBreakBefore w:val="0"/>
              <w:widowControl w:val="0"/>
              <w:kinsoku/>
              <w:wordWrap/>
              <w:overflowPunct/>
              <w:topLinePunct w:val="0"/>
              <w:autoSpaceDE/>
              <w:autoSpaceDN/>
              <w:bidi w:val="0"/>
              <w:adjustRightInd/>
              <w:snapToGrid/>
              <w:spacing w:before="177" w:line="400" w:lineRule="exact"/>
              <w:ind w:left="1057"/>
              <w:jc w:val="both"/>
              <w:textAlignment w:val="auto"/>
              <w:rPr>
                <w:rFonts w:hint="eastAsia" w:ascii="仿宋_GB2312" w:hAnsi="仿宋_GB2312" w:eastAsia="仿宋_GB2312" w:cs="仿宋_GB2312"/>
                <w:kern w:val="2"/>
                <w:sz w:val="28"/>
                <w:szCs w:val="28"/>
                <w:highlight w:val="none"/>
                <w:lang w:val="en-US" w:eastAsia="en-US" w:bidi="ar-SA"/>
              </w:rPr>
            </w:pPr>
            <w:r>
              <w:rPr>
                <w:rFonts w:hint="eastAsia" w:ascii="仿宋_GB2312" w:hAnsi="仿宋_GB2312" w:eastAsia="仿宋_GB2312" w:cs="仿宋_GB2312"/>
                <w:spacing w:val="-2"/>
                <w:kern w:val="2"/>
                <w:sz w:val="28"/>
                <w:szCs w:val="28"/>
                <w:highlight w:val="none"/>
                <w:lang w:val="en-US" w:eastAsia="en-US" w:bidi="ar-SA"/>
              </w:rPr>
              <w:t>0.2247</w:t>
            </w:r>
          </w:p>
        </w:tc>
      </w:tr>
    </w:tbl>
    <w:p>
      <w:pPr>
        <w:keepNext w:val="0"/>
        <w:keepLines w:val="0"/>
        <w:pageBreakBefore w:val="0"/>
        <w:widowControl w:val="0"/>
        <w:kinsoku/>
        <w:wordWrap/>
        <w:overflowPunct/>
        <w:topLinePunct w:val="0"/>
        <w:autoSpaceDE/>
        <w:autoSpaceDN/>
        <w:bidi w:val="0"/>
        <w:adjustRightInd/>
        <w:snapToGrid/>
        <w:spacing w:line="576" w:lineRule="exact"/>
        <w:ind w:right="39" w:firstLine="544" w:firstLineChars="200"/>
        <w:jc w:val="both"/>
        <w:textAlignment w:val="auto"/>
        <w:rPr>
          <w:rFonts w:hint="eastAsia" w:ascii="仿宋_GB2312" w:hAnsi="仿宋_GB2312" w:eastAsia="仿宋_GB2312" w:cs="仿宋_GB2312"/>
          <w:kern w:val="2"/>
          <w:sz w:val="28"/>
          <w:szCs w:val="28"/>
          <w:highlight w:val="none"/>
          <w:lang w:val="en-US" w:eastAsia="en-US" w:bidi="ar-SA"/>
        </w:rPr>
      </w:pPr>
      <w:r>
        <w:rPr>
          <w:rFonts w:hint="eastAsia" w:ascii="仿宋_GB2312" w:hAnsi="仿宋_GB2312" w:eastAsia="仿宋_GB2312" w:cs="仿宋_GB2312"/>
          <w:spacing w:val="-4"/>
          <w:kern w:val="2"/>
          <w:sz w:val="28"/>
          <w:szCs w:val="28"/>
          <w:highlight w:val="none"/>
          <w:lang w:val="en-US" w:eastAsia="en-US" w:bidi="ar-SA"/>
        </w:rPr>
        <w:t>注：山区基准运价是指公里路面坡度（纵）在5%以上，山峦丘陵路段占整</w:t>
      </w:r>
      <w:r>
        <w:rPr>
          <w:rFonts w:hint="eastAsia" w:ascii="仿宋_GB2312" w:hAnsi="仿宋_GB2312" w:eastAsia="仿宋_GB2312" w:cs="仿宋_GB2312"/>
          <w:spacing w:val="-2"/>
          <w:kern w:val="2"/>
          <w:sz w:val="28"/>
          <w:szCs w:val="28"/>
          <w:highlight w:val="none"/>
          <w:lang w:val="en-US" w:eastAsia="en-US" w:bidi="ar-SA"/>
        </w:rPr>
        <w:t>条营运线路里程的70%以上的客运线路的运价；山区线路由各市（州）道路运输</w:t>
      </w:r>
      <w:r>
        <w:rPr>
          <w:rFonts w:hint="eastAsia" w:ascii="仿宋_GB2312" w:hAnsi="仿宋_GB2312" w:eastAsia="仿宋_GB2312" w:cs="仿宋_GB2312"/>
          <w:spacing w:val="-1"/>
          <w:kern w:val="2"/>
          <w:sz w:val="28"/>
          <w:szCs w:val="28"/>
          <w:highlight w:val="none"/>
          <w:lang w:val="en-US" w:eastAsia="en-US" w:bidi="ar-SA"/>
        </w:rPr>
        <w:t>管理机构会同价格主管部门共同核定。</w:t>
      </w:r>
    </w:p>
    <w:p>
      <w:pPr>
        <w:keepNext w:val="0"/>
        <w:keepLines w:val="0"/>
        <w:pageBreakBefore w:val="0"/>
        <w:widowControl w:val="0"/>
        <w:kinsoku/>
        <w:wordWrap/>
        <w:overflowPunct/>
        <w:topLinePunct w:val="0"/>
        <w:autoSpaceDE/>
        <w:autoSpaceDN/>
        <w:bidi w:val="0"/>
        <w:adjustRightInd/>
        <w:snapToGrid/>
        <w:spacing w:line="576" w:lineRule="exact"/>
        <w:ind w:firstLine="552" w:firstLineChars="200"/>
        <w:jc w:val="both"/>
        <w:textAlignment w:val="auto"/>
        <w:rPr>
          <w:rFonts w:hint="eastAsia" w:ascii="仿宋_GB2312" w:hAnsi="仿宋_GB2312" w:eastAsia="仿宋_GB2312" w:cs="仿宋_GB2312"/>
          <w:kern w:val="2"/>
          <w:sz w:val="28"/>
          <w:szCs w:val="28"/>
          <w:highlight w:val="none"/>
          <w:lang w:val="en-US" w:eastAsia="en-US" w:bidi="ar-SA"/>
        </w:rPr>
      </w:pPr>
      <w:r>
        <w:rPr>
          <w:rFonts w:hint="eastAsia" w:ascii="仿宋_GB2312" w:hAnsi="仿宋_GB2312" w:eastAsia="仿宋_GB2312" w:cs="仿宋_GB2312"/>
          <w:spacing w:val="-2"/>
          <w:kern w:val="2"/>
          <w:sz w:val="28"/>
          <w:szCs w:val="28"/>
          <w:highlight w:val="none"/>
          <w:lang w:val="en-US" w:eastAsia="en-US" w:bidi="ar-SA"/>
        </w:rPr>
        <w:t>营运线路里程按照交通运输部核定颁发的《</w:t>
      </w:r>
      <w:r>
        <w:rPr>
          <w:rFonts w:hint="eastAsia" w:ascii="仿宋_GB2312" w:hAnsi="仿宋_GB2312" w:eastAsia="仿宋_GB2312" w:cs="仿宋_GB2312"/>
          <w:spacing w:val="-3"/>
          <w:kern w:val="2"/>
          <w:sz w:val="28"/>
          <w:szCs w:val="28"/>
          <w:highlight w:val="none"/>
          <w:lang w:val="en-US" w:eastAsia="en-US" w:bidi="ar-SA"/>
        </w:rPr>
        <w:t>中国公路营运里程图集》确定。《中国公路营运里程图集》中未标明的，由当地道路运输管理机构按照实际里程</w:t>
      </w:r>
      <w:r>
        <w:rPr>
          <w:rFonts w:hint="eastAsia" w:ascii="仿宋_GB2312" w:hAnsi="仿宋_GB2312" w:eastAsia="仿宋_GB2312" w:cs="仿宋_GB2312"/>
          <w:spacing w:val="-1"/>
          <w:kern w:val="2"/>
          <w:sz w:val="28"/>
          <w:szCs w:val="28"/>
          <w:highlight w:val="none"/>
          <w:lang w:val="en-US" w:eastAsia="en-US" w:bidi="ar-SA"/>
        </w:rPr>
        <w:t>核定。城市市区里程按照实际里程计算。</w:t>
      </w:r>
    </w:p>
    <w:p>
      <w:pPr>
        <w:keepNext w:val="0"/>
        <w:keepLines w:val="0"/>
        <w:pageBreakBefore w:val="0"/>
        <w:widowControl w:val="0"/>
        <w:kinsoku/>
        <w:wordWrap/>
        <w:overflowPunct/>
        <w:topLinePunct w:val="0"/>
        <w:autoSpaceDE/>
        <w:autoSpaceDN/>
        <w:bidi w:val="0"/>
        <w:adjustRightInd/>
        <w:snapToGrid/>
        <w:spacing w:line="576" w:lineRule="exact"/>
        <w:ind w:right="37" w:firstLine="540" w:firstLineChars="200"/>
        <w:jc w:val="both"/>
        <w:textAlignment w:val="auto"/>
        <w:rPr>
          <w:rFonts w:hint="eastAsia" w:ascii="仿宋_GB2312" w:hAnsi="仿宋_GB2312" w:eastAsia="仿宋_GB2312" w:cs="仿宋_GB2312"/>
          <w:spacing w:val="-3"/>
          <w:kern w:val="2"/>
          <w:sz w:val="28"/>
          <w:szCs w:val="28"/>
          <w:highlight w:val="none"/>
          <w:lang w:val="en-US" w:eastAsia="en-US" w:bidi="ar-SA"/>
        </w:rPr>
      </w:pPr>
      <w:r>
        <w:rPr>
          <w:rFonts w:hint="eastAsia" w:ascii="仿宋_GB2312" w:hAnsi="仿宋_GB2312" w:eastAsia="仿宋_GB2312" w:cs="仿宋_GB2312"/>
          <w:spacing w:val="-5"/>
          <w:kern w:val="2"/>
          <w:sz w:val="28"/>
          <w:szCs w:val="28"/>
          <w:highlight w:val="none"/>
          <w:lang w:val="en-US" w:eastAsia="en-US" w:bidi="ar-SA"/>
        </w:rPr>
        <w:t>道路班车客运车辆通过收费公路、渡口、桥梁、隧道所发生的通行费用，按</w:t>
      </w:r>
      <w:r>
        <w:rPr>
          <w:rFonts w:hint="eastAsia" w:ascii="仿宋_GB2312" w:hAnsi="仿宋_GB2312" w:eastAsia="仿宋_GB2312" w:cs="仿宋_GB2312"/>
          <w:spacing w:val="-2"/>
          <w:kern w:val="2"/>
          <w:sz w:val="28"/>
          <w:szCs w:val="28"/>
          <w:highlight w:val="none"/>
          <w:lang w:val="en-US" w:eastAsia="en-US" w:bidi="ar-SA"/>
        </w:rPr>
        <w:t>通过收费站的客车单程收费额除以36（即按客车平均45个座位的80%）计算，</w:t>
      </w:r>
      <w:r>
        <w:rPr>
          <w:rFonts w:hint="eastAsia" w:ascii="仿宋_GB2312" w:hAnsi="仿宋_GB2312" w:eastAsia="仿宋_GB2312" w:cs="仿宋_GB2312"/>
          <w:spacing w:val="-3"/>
          <w:kern w:val="2"/>
          <w:sz w:val="28"/>
          <w:szCs w:val="28"/>
          <w:highlight w:val="none"/>
          <w:lang w:val="en-US" w:eastAsia="en-US" w:bidi="ar-SA"/>
        </w:rPr>
        <w:t>并计入票价。</w:t>
      </w:r>
    </w:p>
    <w:p>
      <w:pPr>
        <w:keepNext w:val="0"/>
        <w:keepLines w:val="0"/>
        <w:pageBreakBefore w:val="0"/>
        <w:widowControl w:val="0"/>
        <w:kinsoku/>
        <w:wordWrap/>
        <w:overflowPunct/>
        <w:topLinePunct w:val="0"/>
        <w:autoSpaceDE/>
        <w:autoSpaceDN/>
        <w:bidi w:val="0"/>
        <w:adjustRightInd/>
        <w:snapToGrid/>
        <w:spacing w:line="576" w:lineRule="exact"/>
        <w:ind w:right="39" w:firstLine="552" w:firstLineChars="200"/>
        <w:jc w:val="both"/>
        <w:textAlignment w:val="auto"/>
        <w:rPr>
          <w:rFonts w:hint="eastAsia" w:ascii="仿宋_GB2312" w:hAnsi="仿宋_GB2312" w:eastAsia="仿宋_GB2312" w:cs="仿宋_GB2312"/>
          <w:spacing w:val="-2"/>
          <w:kern w:val="2"/>
          <w:sz w:val="28"/>
          <w:szCs w:val="28"/>
          <w:highlight w:val="none"/>
          <w:lang w:val="en-US" w:eastAsia="en-US" w:bidi="ar-SA"/>
        </w:rPr>
      </w:pPr>
      <w:r>
        <w:rPr>
          <w:rFonts w:hint="eastAsia" w:ascii="仿宋_GB2312" w:hAnsi="仿宋_GB2312" w:eastAsia="仿宋_GB2312" w:cs="仿宋_GB2312"/>
          <w:spacing w:val="-2"/>
          <w:kern w:val="2"/>
          <w:sz w:val="28"/>
          <w:szCs w:val="28"/>
          <w:highlight w:val="none"/>
          <w:lang w:val="en-US" w:eastAsia="en-US" w:bidi="ar-SA"/>
        </w:rPr>
        <w:t>客运班车票价=道路班车客运基准运价×</w:t>
      </w:r>
      <w:r>
        <w:rPr>
          <w:rFonts w:hint="eastAsia" w:ascii="仿宋_GB2312" w:hAnsi="仿宋_GB2312" w:eastAsia="仿宋_GB2312" w:cs="仿宋_GB2312"/>
          <w:spacing w:val="-2"/>
          <w:kern w:val="2"/>
          <w:sz w:val="28"/>
          <w:szCs w:val="28"/>
          <w:highlight w:val="none"/>
          <w:lang w:val="en-US" w:eastAsia="zh-CN" w:bidi="ar-SA"/>
        </w:rPr>
        <w:t>（</w:t>
      </w:r>
      <w:r>
        <w:rPr>
          <w:rFonts w:hint="eastAsia" w:ascii="仿宋_GB2312" w:hAnsi="仿宋_GB2312" w:eastAsia="仿宋_GB2312" w:cs="仿宋_GB2312"/>
          <w:spacing w:val="-2"/>
          <w:kern w:val="2"/>
          <w:sz w:val="28"/>
          <w:szCs w:val="28"/>
          <w:highlight w:val="none"/>
          <w:lang w:val="en-US" w:eastAsia="en-US" w:bidi="ar-SA"/>
        </w:rPr>
        <w:t>1+旅客身体伤害赔偿责任保障金率</w:t>
      </w:r>
      <w:r>
        <w:rPr>
          <w:rFonts w:hint="eastAsia" w:ascii="仿宋_GB2312" w:hAnsi="仿宋_GB2312" w:eastAsia="仿宋_GB2312" w:cs="仿宋_GB2312"/>
          <w:spacing w:val="-2"/>
          <w:kern w:val="2"/>
          <w:sz w:val="28"/>
          <w:szCs w:val="28"/>
          <w:highlight w:val="none"/>
          <w:lang w:val="en-US" w:eastAsia="zh-CN" w:bidi="ar-SA"/>
        </w:rPr>
        <w:t>）</w:t>
      </w:r>
      <w:r>
        <w:rPr>
          <w:rFonts w:hint="eastAsia" w:ascii="仿宋_GB2312" w:hAnsi="仿宋_GB2312" w:eastAsia="仿宋_GB2312" w:cs="仿宋_GB2312"/>
          <w:spacing w:val="-2"/>
          <w:kern w:val="2"/>
          <w:sz w:val="28"/>
          <w:szCs w:val="28"/>
          <w:highlight w:val="none"/>
          <w:lang w:val="en-US" w:eastAsia="en-US" w:bidi="ar-SA"/>
        </w:rPr>
        <w:t>×旅客计费里程</w:t>
      </w:r>
      <w:r>
        <w:rPr>
          <w:rFonts w:hint="eastAsia" w:ascii="仿宋_GB2312" w:hAnsi="仿宋_GB2312" w:eastAsia="仿宋_GB2312" w:cs="仿宋_GB2312"/>
          <w:spacing w:val="-2"/>
          <w:kern w:val="2"/>
          <w:sz w:val="28"/>
          <w:szCs w:val="28"/>
          <w:highlight w:val="none"/>
          <w:lang w:val="en-US" w:eastAsia="zh-CN" w:bidi="ar-SA"/>
        </w:rPr>
        <w:t>（</w:t>
      </w:r>
      <w:r>
        <w:rPr>
          <w:rFonts w:hint="eastAsia" w:ascii="仿宋_GB2312" w:hAnsi="仿宋_GB2312" w:eastAsia="仿宋_GB2312" w:cs="仿宋_GB2312"/>
          <w:spacing w:val="-2"/>
          <w:kern w:val="2"/>
          <w:sz w:val="28"/>
          <w:szCs w:val="28"/>
          <w:highlight w:val="none"/>
          <w:lang w:val="en-US" w:eastAsia="en-US" w:bidi="ar-SA"/>
        </w:rPr>
        <w:t>营运线路公路里程+城市市区里程</w:t>
      </w:r>
      <w:r>
        <w:rPr>
          <w:rFonts w:hint="eastAsia" w:ascii="仿宋_GB2312" w:hAnsi="仿宋_GB2312" w:eastAsia="仿宋_GB2312" w:cs="仿宋_GB2312"/>
          <w:spacing w:val="-2"/>
          <w:kern w:val="2"/>
          <w:sz w:val="28"/>
          <w:szCs w:val="28"/>
          <w:highlight w:val="none"/>
          <w:lang w:val="en-US" w:eastAsia="zh-CN" w:bidi="ar-SA"/>
        </w:rPr>
        <w:t>）</w:t>
      </w:r>
      <w:r>
        <w:rPr>
          <w:rFonts w:hint="eastAsia" w:ascii="仿宋_GB2312" w:hAnsi="仿宋_GB2312" w:eastAsia="仿宋_GB2312" w:cs="仿宋_GB2312"/>
          <w:spacing w:val="-2"/>
          <w:kern w:val="2"/>
          <w:sz w:val="28"/>
          <w:szCs w:val="28"/>
          <w:highlight w:val="none"/>
          <w:lang w:val="en-US" w:eastAsia="en-US" w:bidi="ar-SA"/>
        </w:rPr>
        <w:t>+旅客站务费+车辆通行费+燃油附加费+其他法定收费。</w:t>
      </w:r>
    </w:p>
    <w:p>
      <w:pPr>
        <w:keepNext w:val="0"/>
        <w:keepLines w:val="0"/>
        <w:pageBreakBefore w:val="0"/>
        <w:widowControl w:val="0"/>
        <w:kinsoku/>
        <w:wordWrap/>
        <w:overflowPunct/>
        <w:topLinePunct w:val="0"/>
        <w:autoSpaceDE/>
        <w:autoSpaceDN/>
        <w:bidi w:val="0"/>
        <w:adjustRightInd/>
        <w:snapToGrid/>
        <w:spacing w:line="576" w:lineRule="exact"/>
        <w:ind w:right="39" w:firstLine="552" w:firstLineChars="200"/>
        <w:jc w:val="both"/>
        <w:textAlignment w:val="auto"/>
        <w:rPr>
          <w:rFonts w:hint="eastAsia" w:ascii="仿宋_GB2312" w:hAnsi="仿宋_GB2312" w:eastAsia="仿宋_GB2312" w:cs="仿宋_GB2312"/>
          <w:spacing w:val="-3"/>
          <w:kern w:val="2"/>
          <w:sz w:val="28"/>
          <w:szCs w:val="28"/>
          <w:highlight w:val="none"/>
          <w:lang w:val="en-US" w:eastAsia="en-US" w:bidi="ar-SA"/>
        </w:rPr>
      </w:pPr>
      <w:r>
        <w:rPr>
          <w:rFonts w:hint="eastAsia" w:ascii="仿宋_GB2312" w:hAnsi="仿宋_GB2312" w:eastAsia="仿宋_GB2312" w:cs="仿宋_GB2312"/>
          <w:spacing w:val="-2"/>
          <w:kern w:val="2"/>
          <w:sz w:val="28"/>
          <w:szCs w:val="28"/>
          <w:highlight w:val="none"/>
          <w:lang w:val="en-US" w:eastAsia="en-US" w:bidi="ar-SA"/>
        </w:rPr>
        <w:t>因自然灾害、修路等原因车辆绕道或改道行驶的，应当按照分级管理权限向交通运输主管部门报备，票价的计费里程按改道或绕道的实际里程计算。</w:t>
      </w:r>
    </w:p>
    <w:p>
      <w:pPr>
        <w:keepNext w:val="0"/>
        <w:keepLines w:val="0"/>
        <w:pageBreakBefore w:val="0"/>
        <w:widowControl w:val="0"/>
        <w:kinsoku/>
        <w:wordWrap/>
        <w:overflowPunct/>
        <w:topLinePunct w:val="0"/>
        <w:autoSpaceDE/>
        <w:autoSpaceDN/>
        <w:bidi w:val="0"/>
        <w:adjustRightInd/>
        <w:snapToGrid/>
        <w:spacing w:line="576" w:lineRule="exact"/>
        <w:ind w:right="39" w:firstLine="548" w:firstLineChars="200"/>
        <w:jc w:val="both"/>
        <w:textAlignment w:val="auto"/>
        <w:rPr>
          <w:rFonts w:hint="eastAsia" w:ascii="仿宋_GB2312" w:hAnsi="仿宋_GB2312" w:eastAsia="仿宋_GB2312" w:cs="仿宋_GB2312"/>
          <w:kern w:val="2"/>
          <w:sz w:val="28"/>
          <w:szCs w:val="28"/>
          <w:highlight w:val="none"/>
          <w:lang w:val="en-US" w:eastAsia="en-US" w:bidi="ar-SA"/>
        </w:rPr>
      </w:pPr>
      <w:r>
        <w:rPr>
          <w:rFonts w:hint="eastAsia" w:ascii="仿宋_GB2312" w:hAnsi="仿宋_GB2312" w:eastAsia="仿宋_GB2312" w:cs="仿宋_GB2312"/>
          <w:spacing w:val="-3"/>
          <w:kern w:val="2"/>
          <w:sz w:val="28"/>
          <w:szCs w:val="28"/>
          <w:highlight w:val="none"/>
          <w:lang w:val="en-US" w:eastAsia="en-US" w:bidi="ar-SA"/>
        </w:rPr>
        <w:t>燃油附加费是指建立道路班车客运价格与成品油价格联动机制</w:t>
      </w:r>
      <w:r>
        <w:rPr>
          <w:rFonts w:hint="eastAsia" w:ascii="仿宋_GB2312" w:hAnsi="仿宋_GB2312" w:eastAsia="仿宋_GB2312" w:cs="仿宋_GB2312"/>
          <w:spacing w:val="-4"/>
          <w:kern w:val="2"/>
          <w:sz w:val="28"/>
          <w:szCs w:val="28"/>
          <w:highlight w:val="none"/>
          <w:lang w:val="en-US" w:eastAsia="en-US" w:bidi="ar-SA"/>
        </w:rPr>
        <w:t>，用于补偿成</w:t>
      </w:r>
      <w:r>
        <w:rPr>
          <w:rFonts w:hint="eastAsia" w:ascii="仿宋_GB2312" w:hAnsi="仿宋_GB2312" w:eastAsia="仿宋_GB2312" w:cs="仿宋_GB2312"/>
          <w:spacing w:val="-2"/>
          <w:kern w:val="2"/>
          <w:sz w:val="28"/>
          <w:szCs w:val="28"/>
          <w:highlight w:val="none"/>
          <w:lang w:val="en-US" w:eastAsia="en-US" w:bidi="ar-SA"/>
        </w:rPr>
        <w:t>品油价格上涨造成道路客运成本增支的费用。以2005年7月国家发展和改革委</w:t>
      </w:r>
      <w:r>
        <w:rPr>
          <w:rFonts w:hint="eastAsia" w:ascii="仿宋_GB2312" w:hAnsi="仿宋_GB2312" w:eastAsia="仿宋_GB2312" w:cs="仿宋_GB2312"/>
          <w:spacing w:val="-5"/>
          <w:kern w:val="2"/>
          <w:sz w:val="28"/>
          <w:szCs w:val="28"/>
          <w:highlight w:val="none"/>
          <w:lang w:val="en-US" w:eastAsia="en-US" w:bidi="ar-SA"/>
        </w:rPr>
        <w:t>员会公布的成品油价格（即0号柴油4475元/吨、90号高标准清洁汽油5160元</w:t>
      </w:r>
      <w:r>
        <w:rPr>
          <w:rFonts w:hint="eastAsia" w:ascii="仿宋_GB2312" w:hAnsi="仿宋_GB2312" w:eastAsia="仿宋_GB2312" w:cs="仿宋_GB2312"/>
          <w:kern w:val="2"/>
          <w:sz w:val="28"/>
          <w:szCs w:val="28"/>
          <w:highlight w:val="none"/>
          <w:lang w:val="en-US" w:eastAsia="en-US" w:bidi="ar-SA"/>
        </w:rPr>
        <w:t>/吨）为基础，当市场零售成品油价格每吨上涨100元（即柴油每升增加</w:t>
      </w:r>
      <w:r>
        <w:rPr>
          <w:rFonts w:hint="eastAsia" w:ascii="仿宋_GB2312" w:hAnsi="仿宋_GB2312" w:eastAsia="仿宋_GB2312" w:cs="仿宋_GB2312"/>
          <w:spacing w:val="-1"/>
          <w:kern w:val="2"/>
          <w:sz w:val="28"/>
          <w:szCs w:val="28"/>
          <w:highlight w:val="none"/>
          <w:lang w:val="en-US" w:eastAsia="en-US" w:bidi="ar-SA"/>
        </w:rPr>
        <w:t>0.084</w:t>
      </w:r>
      <w:r>
        <w:rPr>
          <w:rFonts w:hint="eastAsia" w:ascii="仿宋_GB2312" w:hAnsi="仿宋_GB2312" w:eastAsia="仿宋_GB2312" w:cs="仿宋_GB2312"/>
          <w:kern w:val="2"/>
          <w:sz w:val="28"/>
          <w:szCs w:val="28"/>
          <w:highlight w:val="none"/>
          <w:lang w:val="en-US" w:eastAsia="en-US" w:bidi="ar-SA"/>
        </w:rPr>
        <w:t>元、汽油每升增加0.075元</w:t>
      </w:r>
      <w:r>
        <w:rPr>
          <w:rFonts w:hint="eastAsia" w:ascii="仿宋_GB2312" w:hAnsi="仿宋_GB2312" w:eastAsia="仿宋_GB2312" w:cs="仿宋_GB2312"/>
          <w:spacing w:val="14"/>
          <w:kern w:val="2"/>
          <w:sz w:val="28"/>
          <w:szCs w:val="28"/>
          <w:highlight w:val="none"/>
          <w:lang w:val="en-US" w:eastAsia="en-US" w:bidi="ar-SA"/>
        </w:rPr>
        <w:t>），</w:t>
      </w:r>
      <w:r>
        <w:rPr>
          <w:rFonts w:hint="eastAsia" w:ascii="仿宋_GB2312" w:hAnsi="仿宋_GB2312" w:eastAsia="仿宋_GB2312" w:cs="仿宋_GB2312"/>
          <w:kern w:val="2"/>
          <w:sz w:val="28"/>
          <w:szCs w:val="28"/>
          <w:highlight w:val="none"/>
          <w:lang w:val="en-US" w:eastAsia="en-US" w:bidi="ar-SA"/>
        </w:rPr>
        <w:t>道路班车客运燃油附加费相应增加0.0009元/</w:t>
      </w:r>
      <w:r>
        <w:rPr>
          <w:rFonts w:hint="eastAsia" w:ascii="仿宋_GB2312" w:hAnsi="仿宋_GB2312" w:eastAsia="仿宋_GB2312" w:cs="仿宋_GB2312"/>
          <w:spacing w:val="-2"/>
          <w:kern w:val="2"/>
          <w:sz w:val="28"/>
          <w:szCs w:val="28"/>
          <w:highlight w:val="none"/>
          <w:lang w:val="en-US" w:eastAsia="en-US" w:bidi="ar-SA"/>
        </w:rPr>
        <w:t>人千米；成品油价格每吨减少100元时，燃油附加费也相应降低。</w:t>
      </w:r>
    </w:p>
    <w:p>
      <w:pPr>
        <w:keepNext w:val="0"/>
        <w:keepLines w:val="0"/>
        <w:pageBreakBefore w:val="0"/>
        <w:widowControl w:val="0"/>
        <w:kinsoku/>
        <w:wordWrap/>
        <w:overflowPunct/>
        <w:topLinePunct w:val="0"/>
        <w:autoSpaceDE/>
        <w:autoSpaceDN/>
        <w:bidi w:val="0"/>
        <w:adjustRightInd/>
        <w:snapToGrid/>
        <w:spacing w:line="576" w:lineRule="exact"/>
        <w:ind w:left="603"/>
        <w:jc w:val="both"/>
        <w:textAlignment w:val="auto"/>
        <w:rPr>
          <w:rFonts w:hint="eastAsia" w:ascii="仿宋_GB2312" w:hAnsi="仿宋_GB2312" w:eastAsia="仿宋_GB2312" w:cs="仿宋_GB2312"/>
          <w:spacing w:val="-1"/>
          <w:kern w:val="2"/>
          <w:sz w:val="28"/>
          <w:szCs w:val="28"/>
          <w:highlight w:val="none"/>
          <w:lang w:val="en-US" w:eastAsia="zh-CN" w:bidi="ar-SA"/>
        </w:rPr>
      </w:pPr>
      <w:r>
        <w:rPr>
          <w:rFonts w:hint="eastAsia" w:ascii="仿宋_GB2312" w:hAnsi="仿宋_GB2312" w:eastAsia="仿宋_GB2312" w:cs="仿宋_GB2312"/>
          <w:spacing w:val="-1"/>
          <w:kern w:val="2"/>
          <w:sz w:val="28"/>
          <w:szCs w:val="28"/>
          <w:highlight w:val="none"/>
          <w:lang w:val="en-US" w:eastAsia="en-US" w:bidi="ar-SA"/>
        </w:rPr>
        <w:t>燃油附加费=联动额度×旅客计费里程</w:t>
      </w:r>
      <w:r>
        <w:rPr>
          <w:rFonts w:hint="eastAsia" w:ascii="仿宋_GB2312" w:hAnsi="仿宋_GB2312" w:eastAsia="仿宋_GB2312" w:cs="仿宋_GB2312"/>
          <w:spacing w:val="-1"/>
          <w:kern w:val="2"/>
          <w:sz w:val="28"/>
          <w:szCs w:val="28"/>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480" w:lineRule="exact"/>
        <w:ind w:left="603"/>
        <w:jc w:val="both"/>
        <w:textAlignment w:val="auto"/>
        <w:rPr>
          <w:rFonts w:hint="eastAsia" w:ascii="仿宋_GB2312" w:hAnsi="仿宋_GB2312" w:eastAsia="仿宋_GB2312" w:cs="仿宋_GB2312"/>
          <w:spacing w:val="-1"/>
          <w:kern w:val="2"/>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480" w:lineRule="exact"/>
        <w:ind w:left="603"/>
        <w:jc w:val="both"/>
        <w:textAlignment w:val="auto"/>
        <w:rPr>
          <w:rFonts w:hint="eastAsia" w:ascii="仿宋_GB2312" w:hAnsi="仿宋_GB2312" w:eastAsia="仿宋_GB2312" w:cs="仿宋_GB2312"/>
          <w:spacing w:val="-1"/>
          <w:kern w:val="2"/>
          <w:sz w:val="28"/>
          <w:szCs w:val="28"/>
          <w:highlight w:val="none"/>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lang w:val="en-US" w:eastAsia="zh-CN"/>
        </w:rPr>
      </w:pPr>
    </w:p>
    <w:sectPr>
      <w:headerReference r:id="rId3" w:type="default"/>
      <w:footerReference r:id="rId4" w:type="default"/>
      <w:pgSz w:w="11906" w:h="16838"/>
      <w:pgMar w:top="1814" w:right="1474" w:bottom="1814" w:left="1474" w:header="851" w:footer="992" w:gutter="0"/>
      <w:pgNumType w:fmt="decimal" w:start="1"/>
      <w:cols w:space="0" w:num="1"/>
      <w:rtlGutter w:val="0"/>
      <w:docGrid w:type="linesAndChars" w:linePitch="600"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20" w:rightChars="100"/>
      <w:jc w:val="right"/>
      <w:rPr>
        <w:rFonts w:ascii="宋体" w:hAnsi="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qizKUswEAAFIDAAAOAAAAAAAAAAEAIAAAADQBAABkcnMvZTJvRG9j&#10;LnhtbFBLBQYAAAAABgAGAFkBAABZBQAAAAA=&#10;">
              <v:fill on="f" focussize="0,0"/>
              <v:stroke on="f"/>
              <v:imagedata o:title=""/>
              <o:lock v:ext="edit" aspectratio="f"/>
              <v:textbox inset="0mm,0mm,0mm,0mm" style="mso-fit-shape-to-text:t;">
                <w:txbxContent>
                  <w:p>
                    <w:pPr>
                      <w:pStyle w:val="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FE1371"/>
    <w:multiLevelType w:val="singleLevel"/>
    <w:tmpl w:val="BEFE1371"/>
    <w:lvl w:ilvl="0" w:tentative="0">
      <w:start w:val="1"/>
      <w:numFmt w:val="chineseCounting"/>
      <w:suff w:val="space"/>
      <w:lvlText w:val="第%1条"/>
      <w:lvlJc w:val="left"/>
      <w:rPr>
        <w:rFonts w:hint="eastAsia" w:ascii="黑体" w:hAnsi="黑体" w:eastAsia="黑体" w:cs="黑体"/>
      </w:rPr>
    </w:lvl>
  </w:abstractNum>
  <w:abstractNum w:abstractNumId="1">
    <w:nsid w:val="7AF7E051"/>
    <w:multiLevelType w:val="singleLevel"/>
    <w:tmpl w:val="7AF7E051"/>
    <w:lvl w:ilvl="0" w:tentative="0">
      <w:start w:val="1"/>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60"/>
  <w:drawingGridVerticalSpacing w:val="300"/>
  <w:displayHorizontalDrawingGridEvery w:val="2"/>
  <w:displayVerticalDrawingGridEvery w:val="2"/>
  <w:noPunctuationKerning w:val="true"/>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zZjIyYTk2MmI0MmZmNDg1M2JhYWYyOGE4OTBkMzAifQ=="/>
  </w:docVars>
  <w:rsids>
    <w:rsidRoot w:val="00172A27"/>
    <w:rsid w:val="00001344"/>
    <w:rsid w:val="000015E5"/>
    <w:rsid w:val="00006DAC"/>
    <w:rsid w:val="000149C6"/>
    <w:rsid w:val="00014CD3"/>
    <w:rsid w:val="000204C6"/>
    <w:rsid w:val="00021C6E"/>
    <w:rsid w:val="000264A7"/>
    <w:rsid w:val="00031EDC"/>
    <w:rsid w:val="00035EEA"/>
    <w:rsid w:val="0004126D"/>
    <w:rsid w:val="000431AE"/>
    <w:rsid w:val="00043958"/>
    <w:rsid w:val="00047BCC"/>
    <w:rsid w:val="000570EB"/>
    <w:rsid w:val="00064CB0"/>
    <w:rsid w:val="0006543D"/>
    <w:rsid w:val="00067B57"/>
    <w:rsid w:val="0007417D"/>
    <w:rsid w:val="000741BE"/>
    <w:rsid w:val="00077458"/>
    <w:rsid w:val="00077972"/>
    <w:rsid w:val="0008492D"/>
    <w:rsid w:val="00087B4D"/>
    <w:rsid w:val="000905DE"/>
    <w:rsid w:val="00097B70"/>
    <w:rsid w:val="000A1D6E"/>
    <w:rsid w:val="000A68DD"/>
    <w:rsid w:val="000B065F"/>
    <w:rsid w:val="000B3828"/>
    <w:rsid w:val="000B5D50"/>
    <w:rsid w:val="000C27BB"/>
    <w:rsid w:val="000C592F"/>
    <w:rsid w:val="000C6525"/>
    <w:rsid w:val="000C6AFA"/>
    <w:rsid w:val="000D2BB2"/>
    <w:rsid w:val="000D3329"/>
    <w:rsid w:val="000D4123"/>
    <w:rsid w:val="000D6B41"/>
    <w:rsid w:val="000E0151"/>
    <w:rsid w:val="000E1891"/>
    <w:rsid w:val="000E52BF"/>
    <w:rsid w:val="000F0725"/>
    <w:rsid w:val="000F4B15"/>
    <w:rsid w:val="000F4EF1"/>
    <w:rsid w:val="000F5C40"/>
    <w:rsid w:val="00104BD2"/>
    <w:rsid w:val="0010519C"/>
    <w:rsid w:val="00110E4B"/>
    <w:rsid w:val="001174B1"/>
    <w:rsid w:val="0012387F"/>
    <w:rsid w:val="0012731C"/>
    <w:rsid w:val="00132DA7"/>
    <w:rsid w:val="0013685F"/>
    <w:rsid w:val="00137430"/>
    <w:rsid w:val="00141577"/>
    <w:rsid w:val="00141755"/>
    <w:rsid w:val="00143364"/>
    <w:rsid w:val="001448A3"/>
    <w:rsid w:val="001519D4"/>
    <w:rsid w:val="00154BD9"/>
    <w:rsid w:val="00156FA9"/>
    <w:rsid w:val="00166A1F"/>
    <w:rsid w:val="00172A27"/>
    <w:rsid w:val="001749C3"/>
    <w:rsid w:val="00176178"/>
    <w:rsid w:val="001839EC"/>
    <w:rsid w:val="00184383"/>
    <w:rsid w:val="001852BA"/>
    <w:rsid w:val="00187E70"/>
    <w:rsid w:val="00193D20"/>
    <w:rsid w:val="001A3546"/>
    <w:rsid w:val="001A4FAC"/>
    <w:rsid w:val="001B3A1D"/>
    <w:rsid w:val="001B684F"/>
    <w:rsid w:val="001B6E9A"/>
    <w:rsid w:val="001B6F59"/>
    <w:rsid w:val="001B713E"/>
    <w:rsid w:val="001B72C0"/>
    <w:rsid w:val="001C5CAC"/>
    <w:rsid w:val="001D0273"/>
    <w:rsid w:val="001D0755"/>
    <w:rsid w:val="001D1C5E"/>
    <w:rsid w:val="001D47DE"/>
    <w:rsid w:val="001E66D2"/>
    <w:rsid w:val="001F26CE"/>
    <w:rsid w:val="001F3562"/>
    <w:rsid w:val="001F56C1"/>
    <w:rsid w:val="0020084F"/>
    <w:rsid w:val="0020224C"/>
    <w:rsid w:val="00203E40"/>
    <w:rsid w:val="002073FA"/>
    <w:rsid w:val="00211298"/>
    <w:rsid w:val="00211DEA"/>
    <w:rsid w:val="00212939"/>
    <w:rsid w:val="00215842"/>
    <w:rsid w:val="00215E05"/>
    <w:rsid w:val="00222EB2"/>
    <w:rsid w:val="002246AD"/>
    <w:rsid w:val="00226093"/>
    <w:rsid w:val="002308F0"/>
    <w:rsid w:val="00231DC7"/>
    <w:rsid w:val="00233908"/>
    <w:rsid w:val="00234F27"/>
    <w:rsid w:val="002408BF"/>
    <w:rsid w:val="00241F77"/>
    <w:rsid w:val="00243DD5"/>
    <w:rsid w:val="00244A95"/>
    <w:rsid w:val="00260331"/>
    <w:rsid w:val="0026217F"/>
    <w:rsid w:val="00263AA2"/>
    <w:rsid w:val="00263FA6"/>
    <w:rsid w:val="00266279"/>
    <w:rsid w:val="00270E1D"/>
    <w:rsid w:val="0027443C"/>
    <w:rsid w:val="002753EA"/>
    <w:rsid w:val="00280829"/>
    <w:rsid w:val="00287D29"/>
    <w:rsid w:val="00290840"/>
    <w:rsid w:val="00291C38"/>
    <w:rsid w:val="0029262A"/>
    <w:rsid w:val="0029447D"/>
    <w:rsid w:val="00296AE5"/>
    <w:rsid w:val="00296C69"/>
    <w:rsid w:val="002A7B66"/>
    <w:rsid w:val="002B1BAD"/>
    <w:rsid w:val="002B2FF8"/>
    <w:rsid w:val="002B6C30"/>
    <w:rsid w:val="002C1BB4"/>
    <w:rsid w:val="002C1DCF"/>
    <w:rsid w:val="002C50D7"/>
    <w:rsid w:val="002C5516"/>
    <w:rsid w:val="002C6A18"/>
    <w:rsid w:val="002C7999"/>
    <w:rsid w:val="002C7FAA"/>
    <w:rsid w:val="002D6C78"/>
    <w:rsid w:val="002E1A42"/>
    <w:rsid w:val="002E28F9"/>
    <w:rsid w:val="002E2E63"/>
    <w:rsid w:val="002F2937"/>
    <w:rsid w:val="002F2C16"/>
    <w:rsid w:val="002F4223"/>
    <w:rsid w:val="00300E23"/>
    <w:rsid w:val="00301D51"/>
    <w:rsid w:val="00302B0D"/>
    <w:rsid w:val="00312D91"/>
    <w:rsid w:val="00315343"/>
    <w:rsid w:val="003156E4"/>
    <w:rsid w:val="00316F0C"/>
    <w:rsid w:val="00316F6B"/>
    <w:rsid w:val="003170A0"/>
    <w:rsid w:val="00321C80"/>
    <w:rsid w:val="003234FA"/>
    <w:rsid w:val="00326C3E"/>
    <w:rsid w:val="0033414E"/>
    <w:rsid w:val="00334862"/>
    <w:rsid w:val="00337AA0"/>
    <w:rsid w:val="00341761"/>
    <w:rsid w:val="00344912"/>
    <w:rsid w:val="00345AB9"/>
    <w:rsid w:val="00346273"/>
    <w:rsid w:val="003470B2"/>
    <w:rsid w:val="00357AC2"/>
    <w:rsid w:val="003601CB"/>
    <w:rsid w:val="00361F3A"/>
    <w:rsid w:val="00363F3A"/>
    <w:rsid w:val="0037042C"/>
    <w:rsid w:val="003714E8"/>
    <w:rsid w:val="0038004D"/>
    <w:rsid w:val="0038254B"/>
    <w:rsid w:val="00383F4F"/>
    <w:rsid w:val="00391FC1"/>
    <w:rsid w:val="0039259D"/>
    <w:rsid w:val="0039489D"/>
    <w:rsid w:val="00394F72"/>
    <w:rsid w:val="00396606"/>
    <w:rsid w:val="003975AE"/>
    <w:rsid w:val="00397B60"/>
    <w:rsid w:val="003A20FD"/>
    <w:rsid w:val="003A3682"/>
    <w:rsid w:val="003A3ECD"/>
    <w:rsid w:val="003B14C3"/>
    <w:rsid w:val="003B424B"/>
    <w:rsid w:val="003B67F5"/>
    <w:rsid w:val="003B6A91"/>
    <w:rsid w:val="003C02BB"/>
    <w:rsid w:val="003C10DC"/>
    <w:rsid w:val="003C153D"/>
    <w:rsid w:val="003C2452"/>
    <w:rsid w:val="003C68C1"/>
    <w:rsid w:val="003D30DA"/>
    <w:rsid w:val="003E4AD9"/>
    <w:rsid w:val="003E631D"/>
    <w:rsid w:val="003F0FE2"/>
    <w:rsid w:val="003F4F0C"/>
    <w:rsid w:val="00400248"/>
    <w:rsid w:val="0040372D"/>
    <w:rsid w:val="00405989"/>
    <w:rsid w:val="004145D8"/>
    <w:rsid w:val="00414F40"/>
    <w:rsid w:val="00415E81"/>
    <w:rsid w:val="00422880"/>
    <w:rsid w:val="004251EB"/>
    <w:rsid w:val="00425219"/>
    <w:rsid w:val="0043154C"/>
    <w:rsid w:val="00432C88"/>
    <w:rsid w:val="004337E0"/>
    <w:rsid w:val="00437727"/>
    <w:rsid w:val="00443558"/>
    <w:rsid w:val="004462BB"/>
    <w:rsid w:val="004513E0"/>
    <w:rsid w:val="004554B7"/>
    <w:rsid w:val="00464A10"/>
    <w:rsid w:val="00465178"/>
    <w:rsid w:val="004663E8"/>
    <w:rsid w:val="00471B7D"/>
    <w:rsid w:val="00474937"/>
    <w:rsid w:val="00476F8A"/>
    <w:rsid w:val="00477361"/>
    <w:rsid w:val="004915B9"/>
    <w:rsid w:val="00493126"/>
    <w:rsid w:val="004A1504"/>
    <w:rsid w:val="004A4C1F"/>
    <w:rsid w:val="004A6C66"/>
    <w:rsid w:val="004B007A"/>
    <w:rsid w:val="004B331B"/>
    <w:rsid w:val="004C197F"/>
    <w:rsid w:val="004C5C33"/>
    <w:rsid w:val="004D1616"/>
    <w:rsid w:val="004D1B20"/>
    <w:rsid w:val="004E0E9B"/>
    <w:rsid w:val="004E27B3"/>
    <w:rsid w:val="004F4075"/>
    <w:rsid w:val="004F5C04"/>
    <w:rsid w:val="00503650"/>
    <w:rsid w:val="005066FC"/>
    <w:rsid w:val="00510244"/>
    <w:rsid w:val="005134A4"/>
    <w:rsid w:val="00515209"/>
    <w:rsid w:val="005174FD"/>
    <w:rsid w:val="00521803"/>
    <w:rsid w:val="0053070B"/>
    <w:rsid w:val="00533296"/>
    <w:rsid w:val="00533BCC"/>
    <w:rsid w:val="005353C1"/>
    <w:rsid w:val="00537285"/>
    <w:rsid w:val="00541A01"/>
    <w:rsid w:val="00553210"/>
    <w:rsid w:val="00567137"/>
    <w:rsid w:val="00570EDB"/>
    <w:rsid w:val="00571CB6"/>
    <w:rsid w:val="005739EB"/>
    <w:rsid w:val="00581B29"/>
    <w:rsid w:val="00582253"/>
    <w:rsid w:val="005839B2"/>
    <w:rsid w:val="0058579A"/>
    <w:rsid w:val="005900C8"/>
    <w:rsid w:val="00592AAE"/>
    <w:rsid w:val="005A131A"/>
    <w:rsid w:val="005A1600"/>
    <w:rsid w:val="005A3A27"/>
    <w:rsid w:val="005B22AC"/>
    <w:rsid w:val="005B3229"/>
    <w:rsid w:val="005B5FD0"/>
    <w:rsid w:val="005C2692"/>
    <w:rsid w:val="005C2B4B"/>
    <w:rsid w:val="005C588C"/>
    <w:rsid w:val="005D2B07"/>
    <w:rsid w:val="005D35C0"/>
    <w:rsid w:val="005D3A00"/>
    <w:rsid w:val="005D4F92"/>
    <w:rsid w:val="005D5AEC"/>
    <w:rsid w:val="005D5D7C"/>
    <w:rsid w:val="005D7E3B"/>
    <w:rsid w:val="005F4DEB"/>
    <w:rsid w:val="005F52A8"/>
    <w:rsid w:val="005F5637"/>
    <w:rsid w:val="005F73DC"/>
    <w:rsid w:val="006004F5"/>
    <w:rsid w:val="006014E7"/>
    <w:rsid w:val="00602DC0"/>
    <w:rsid w:val="00603B66"/>
    <w:rsid w:val="00603C9F"/>
    <w:rsid w:val="006116B3"/>
    <w:rsid w:val="00614778"/>
    <w:rsid w:val="00614DE2"/>
    <w:rsid w:val="00615656"/>
    <w:rsid w:val="006163E2"/>
    <w:rsid w:val="00616CD6"/>
    <w:rsid w:val="006272B6"/>
    <w:rsid w:val="0063490A"/>
    <w:rsid w:val="0064145C"/>
    <w:rsid w:val="006459E3"/>
    <w:rsid w:val="0064723C"/>
    <w:rsid w:val="00650A71"/>
    <w:rsid w:val="00656B1C"/>
    <w:rsid w:val="00657DA7"/>
    <w:rsid w:val="00667FC0"/>
    <w:rsid w:val="00675F61"/>
    <w:rsid w:val="00676683"/>
    <w:rsid w:val="006801AD"/>
    <w:rsid w:val="006802F8"/>
    <w:rsid w:val="006859C4"/>
    <w:rsid w:val="00685DA3"/>
    <w:rsid w:val="00693A82"/>
    <w:rsid w:val="00694B6F"/>
    <w:rsid w:val="006A13A0"/>
    <w:rsid w:val="006A1B63"/>
    <w:rsid w:val="006A4BC4"/>
    <w:rsid w:val="006A50D1"/>
    <w:rsid w:val="006A692D"/>
    <w:rsid w:val="006A79BE"/>
    <w:rsid w:val="006B0CB8"/>
    <w:rsid w:val="006B1672"/>
    <w:rsid w:val="006B6FE0"/>
    <w:rsid w:val="006C34CA"/>
    <w:rsid w:val="006D6A5F"/>
    <w:rsid w:val="006D7639"/>
    <w:rsid w:val="006E1E93"/>
    <w:rsid w:val="006F2C60"/>
    <w:rsid w:val="006F368B"/>
    <w:rsid w:val="006F6F6C"/>
    <w:rsid w:val="0070622F"/>
    <w:rsid w:val="00711792"/>
    <w:rsid w:val="007122F8"/>
    <w:rsid w:val="00712766"/>
    <w:rsid w:val="007133A2"/>
    <w:rsid w:val="00715656"/>
    <w:rsid w:val="00716E79"/>
    <w:rsid w:val="007200AE"/>
    <w:rsid w:val="007228C7"/>
    <w:rsid w:val="00722A89"/>
    <w:rsid w:val="00723F7D"/>
    <w:rsid w:val="00734857"/>
    <w:rsid w:val="00735240"/>
    <w:rsid w:val="00736252"/>
    <w:rsid w:val="00740CBA"/>
    <w:rsid w:val="0074172A"/>
    <w:rsid w:val="007447A2"/>
    <w:rsid w:val="0074556E"/>
    <w:rsid w:val="00757786"/>
    <w:rsid w:val="00761A87"/>
    <w:rsid w:val="00761B2E"/>
    <w:rsid w:val="00764402"/>
    <w:rsid w:val="007645CE"/>
    <w:rsid w:val="00765853"/>
    <w:rsid w:val="00770679"/>
    <w:rsid w:val="007758FC"/>
    <w:rsid w:val="00776091"/>
    <w:rsid w:val="007808B9"/>
    <w:rsid w:val="00781257"/>
    <w:rsid w:val="00783C06"/>
    <w:rsid w:val="007875DF"/>
    <w:rsid w:val="007915F7"/>
    <w:rsid w:val="007A477D"/>
    <w:rsid w:val="007A4EE1"/>
    <w:rsid w:val="007A6B25"/>
    <w:rsid w:val="007B1758"/>
    <w:rsid w:val="007C0516"/>
    <w:rsid w:val="007C16FF"/>
    <w:rsid w:val="007D27DD"/>
    <w:rsid w:val="007D69FA"/>
    <w:rsid w:val="007D6C43"/>
    <w:rsid w:val="007E0FAF"/>
    <w:rsid w:val="007E6A16"/>
    <w:rsid w:val="007F1020"/>
    <w:rsid w:val="007F173F"/>
    <w:rsid w:val="007F20DE"/>
    <w:rsid w:val="007F4D30"/>
    <w:rsid w:val="007F5841"/>
    <w:rsid w:val="007F5964"/>
    <w:rsid w:val="007F59C8"/>
    <w:rsid w:val="007F62AD"/>
    <w:rsid w:val="0080379C"/>
    <w:rsid w:val="008122D3"/>
    <w:rsid w:val="008155BD"/>
    <w:rsid w:val="00820FBA"/>
    <w:rsid w:val="00821DA8"/>
    <w:rsid w:val="00823539"/>
    <w:rsid w:val="0082619A"/>
    <w:rsid w:val="008302E3"/>
    <w:rsid w:val="008401AB"/>
    <w:rsid w:val="00841C34"/>
    <w:rsid w:val="00842579"/>
    <w:rsid w:val="00851B76"/>
    <w:rsid w:val="0085248F"/>
    <w:rsid w:val="008608CE"/>
    <w:rsid w:val="00861578"/>
    <w:rsid w:val="008630B7"/>
    <w:rsid w:val="00863D43"/>
    <w:rsid w:val="00867A3F"/>
    <w:rsid w:val="00876A60"/>
    <w:rsid w:val="00881C64"/>
    <w:rsid w:val="00883FB1"/>
    <w:rsid w:val="00885A06"/>
    <w:rsid w:val="00890078"/>
    <w:rsid w:val="00891462"/>
    <w:rsid w:val="008929C8"/>
    <w:rsid w:val="0089351A"/>
    <w:rsid w:val="00897A28"/>
    <w:rsid w:val="008A1F98"/>
    <w:rsid w:val="008A58D6"/>
    <w:rsid w:val="008C059B"/>
    <w:rsid w:val="008C3BF3"/>
    <w:rsid w:val="008C4F03"/>
    <w:rsid w:val="008C758E"/>
    <w:rsid w:val="008C7EAB"/>
    <w:rsid w:val="008D3882"/>
    <w:rsid w:val="008D601A"/>
    <w:rsid w:val="008D71AC"/>
    <w:rsid w:val="008E0049"/>
    <w:rsid w:val="008E6007"/>
    <w:rsid w:val="008E7EE9"/>
    <w:rsid w:val="008F24B9"/>
    <w:rsid w:val="008F253D"/>
    <w:rsid w:val="00900637"/>
    <w:rsid w:val="00905D11"/>
    <w:rsid w:val="00912FB0"/>
    <w:rsid w:val="0092357F"/>
    <w:rsid w:val="009244A5"/>
    <w:rsid w:val="00927B78"/>
    <w:rsid w:val="009345F1"/>
    <w:rsid w:val="0094263D"/>
    <w:rsid w:val="00942CA2"/>
    <w:rsid w:val="009442AF"/>
    <w:rsid w:val="0094442B"/>
    <w:rsid w:val="009471BE"/>
    <w:rsid w:val="0095491A"/>
    <w:rsid w:val="0095538B"/>
    <w:rsid w:val="009571FB"/>
    <w:rsid w:val="0096162D"/>
    <w:rsid w:val="009617BB"/>
    <w:rsid w:val="00964476"/>
    <w:rsid w:val="00967DAB"/>
    <w:rsid w:val="00971C28"/>
    <w:rsid w:val="00973A57"/>
    <w:rsid w:val="00980F3A"/>
    <w:rsid w:val="00991E95"/>
    <w:rsid w:val="00992DCD"/>
    <w:rsid w:val="00995E56"/>
    <w:rsid w:val="009B10D7"/>
    <w:rsid w:val="009B165C"/>
    <w:rsid w:val="009B2EEE"/>
    <w:rsid w:val="009B34A5"/>
    <w:rsid w:val="009C0465"/>
    <w:rsid w:val="009C4A0C"/>
    <w:rsid w:val="009C5A71"/>
    <w:rsid w:val="009C680B"/>
    <w:rsid w:val="009C7E13"/>
    <w:rsid w:val="009D29FF"/>
    <w:rsid w:val="009D5486"/>
    <w:rsid w:val="009E00B6"/>
    <w:rsid w:val="009E3645"/>
    <w:rsid w:val="009F1B94"/>
    <w:rsid w:val="009F2645"/>
    <w:rsid w:val="009F3B1D"/>
    <w:rsid w:val="00A0045B"/>
    <w:rsid w:val="00A0605A"/>
    <w:rsid w:val="00A069AC"/>
    <w:rsid w:val="00A07019"/>
    <w:rsid w:val="00A125EC"/>
    <w:rsid w:val="00A2150E"/>
    <w:rsid w:val="00A23DF0"/>
    <w:rsid w:val="00A24583"/>
    <w:rsid w:val="00A24A67"/>
    <w:rsid w:val="00A32F57"/>
    <w:rsid w:val="00A373CF"/>
    <w:rsid w:val="00A43C5A"/>
    <w:rsid w:val="00A44CCE"/>
    <w:rsid w:val="00A4698C"/>
    <w:rsid w:val="00A5019C"/>
    <w:rsid w:val="00A50F7B"/>
    <w:rsid w:val="00A56259"/>
    <w:rsid w:val="00A56F0B"/>
    <w:rsid w:val="00A6185F"/>
    <w:rsid w:val="00A618EC"/>
    <w:rsid w:val="00A648E2"/>
    <w:rsid w:val="00A65637"/>
    <w:rsid w:val="00A67FB6"/>
    <w:rsid w:val="00A7248B"/>
    <w:rsid w:val="00A82060"/>
    <w:rsid w:val="00A8381F"/>
    <w:rsid w:val="00A868AB"/>
    <w:rsid w:val="00A91DCC"/>
    <w:rsid w:val="00AA0A4E"/>
    <w:rsid w:val="00AA12AF"/>
    <w:rsid w:val="00AA173F"/>
    <w:rsid w:val="00AA470B"/>
    <w:rsid w:val="00AB1FBE"/>
    <w:rsid w:val="00AB63D7"/>
    <w:rsid w:val="00AC0A39"/>
    <w:rsid w:val="00AC5F5B"/>
    <w:rsid w:val="00AC755D"/>
    <w:rsid w:val="00AD2CA7"/>
    <w:rsid w:val="00AD3659"/>
    <w:rsid w:val="00AD7E45"/>
    <w:rsid w:val="00AE2ED9"/>
    <w:rsid w:val="00AE3C65"/>
    <w:rsid w:val="00AE52B0"/>
    <w:rsid w:val="00AE7410"/>
    <w:rsid w:val="00AF2B88"/>
    <w:rsid w:val="00B00011"/>
    <w:rsid w:val="00B02E66"/>
    <w:rsid w:val="00B06EF1"/>
    <w:rsid w:val="00B11851"/>
    <w:rsid w:val="00B24115"/>
    <w:rsid w:val="00B250B4"/>
    <w:rsid w:val="00B26166"/>
    <w:rsid w:val="00B31E73"/>
    <w:rsid w:val="00B411A7"/>
    <w:rsid w:val="00B453E9"/>
    <w:rsid w:val="00B456DB"/>
    <w:rsid w:val="00B61D68"/>
    <w:rsid w:val="00B62441"/>
    <w:rsid w:val="00B6325A"/>
    <w:rsid w:val="00B6686E"/>
    <w:rsid w:val="00B67BFB"/>
    <w:rsid w:val="00B825D2"/>
    <w:rsid w:val="00B83AB1"/>
    <w:rsid w:val="00B936F3"/>
    <w:rsid w:val="00B94431"/>
    <w:rsid w:val="00B96951"/>
    <w:rsid w:val="00B97DCC"/>
    <w:rsid w:val="00BA55F3"/>
    <w:rsid w:val="00BB40F0"/>
    <w:rsid w:val="00BB5626"/>
    <w:rsid w:val="00BB6DF4"/>
    <w:rsid w:val="00BC0CCF"/>
    <w:rsid w:val="00BC2C66"/>
    <w:rsid w:val="00BC3320"/>
    <w:rsid w:val="00BC7C80"/>
    <w:rsid w:val="00BD57D7"/>
    <w:rsid w:val="00BD5A42"/>
    <w:rsid w:val="00BD75E6"/>
    <w:rsid w:val="00BD7861"/>
    <w:rsid w:val="00BE2697"/>
    <w:rsid w:val="00BF5D79"/>
    <w:rsid w:val="00C065E6"/>
    <w:rsid w:val="00C06B30"/>
    <w:rsid w:val="00C07B56"/>
    <w:rsid w:val="00C13DC8"/>
    <w:rsid w:val="00C20630"/>
    <w:rsid w:val="00C2196B"/>
    <w:rsid w:val="00C22443"/>
    <w:rsid w:val="00C239AA"/>
    <w:rsid w:val="00C255CA"/>
    <w:rsid w:val="00C26AB5"/>
    <w:rsid w:val="00C35C3B"/>
    <w:rsid w:val="00C406F4"/>
    <w:rsid w:val="00C41549"/>
    <w:rsid w:val="00C4205F"/>
    <w:rsid w:val="00C43A74"/>
    <w:rsid w:val="00C46A35"/>
    <w:rsid w:val="00C509A2"/>
    <w:rsid w:val="00C51BC5"/>
    <w:rsid w:val="00C5336C"/>
    <w:rsid w:val="00C635A3"/>
    <w:rsid w:val="00C65743"/>
    <w:rsid w:val="00C70206"/>
    <w:rsid w:val="00C7109D"/>
    <w:rsid w:val="00C7373F"/>
    <w:rsid w:val="00C76E6F"/>
    <w:rsid w:val="00C81EE8"/>
    <w:rsid w:val="00C82FFB"/>
    <w:rsid w:val="00C906A9"/>
    <w:rsid w:val="00C92E48"/>
    <w:rsid w:val="00C937FC"/>
    <w:rsid w:val="00CA2732"/>
    <w:rsid w:val="00CA35CF"/>
    <w:rsid w:val="00CB5CFA"/>
    <w:rsid w:val="00CB5EEF"/>
    <w:rsid w:val="00CC092A"/>
    <w:rsid w:val="00CD15DC"/>
    <w:rsid w:val="00CD7614"/>
    <w:rsid w:val="00CE59B5"/>
    <w:rsid w:val="00CE5F2B"/>
    <w:rsid w:val="00CE7D32"/>
    <w:rsid w:val="00CE7ECA"/>
    <w:rsid w:val="00CF009D"/>
    <w:rsid w:val="00CF0968"/>
    <w:rsid w:val="00CF33A6"/>
    <w:rsid w:val="00CF5A77"/>
    <w:rsid w:val="00D038C4"/>
    <w:rsid w:val="00D20854"/>
    <w:rsid w:val="00D215DB"/>
    <w:rsid w:val="00D237E9"/>
    <w:rsid w:val="00D247C9"/>
    <w:rsid w:val="00D25FB6"/>
    <w:rsid w:val="00D3062B"/>
    <w:rsid w:val="00D332F9"/>
    <w:rsid w:val="00D40CB9"/>
    <w:rsid w:val="00D436F0"/>
    <w:rsid w:val="00D4592D"/>
    <w:rsid w:val="00D51A5E"/>
    <w:rsid w:val="00D51A93"/>
    <w:rsid w:val="00D555C1"/>
    <w:rsid w:val="00D55708"/>
    <w:rsid w:val="00D57A4C"/>
    <w:rsid w:val="00D632DA"/>
    <w:rsid w:val="00D7012E"/>
    <w:rsid w:val="00D764C2"/>
    <w:rsid w:val="00D768AB"/>
    <w:rsid w:val="00D77466"/>
    <w:rsid w:val="00D7763C"/>
    <w:rsid w:val="00D77DA6"/>
    <w:rsid w:val="00D80720"/>
    <w:rsid w:val="00D81916"/>
    <w:rsid w:val="00D81D97"/>
    <w:rsid w:val="00D83AD4"/>
    <w:rsid w:val="00D85CD0"/>
    <w:rsid w:val="00D863C2"/>
    <w:rsid w:val="00D87679"/>
    <w:rsid w:val="00D9025D"/>
    <w:rsid w:val="00D9530E"/>
    <w:rsid w:val="00D95829"/>
    <w:rsid w:val="00DA3326"/>
    <w:rsid w:val="00DB1CB1"/>
    <w:rsid w:val="00DB1E41"/>
    <w:rsid w:val="00DB2803"/>
    <w:rsid w:val="00DB473E"/>
    <w:rsid w:val="00DC1531"/>
    <w:rsid w:val="00DC2489"/>
    <w:rsid w:val="00DC3F9F"/>
    <w:rsid w:val="00DC7421"/>
    <w:rsid w:val="00DD1092"/>
    <w:rsid w:val="00DD2CA1"/>
    <w:rsid w:val="00DD3EB5"/>
    <w:rsid w:val="00DD5261"/>
    <w:rsid w:val="00DE5A40"/>
    <w:rsid w:val="00DE717F"/>
    <w:rsid w:val="00DE7951"/>
    <w:rsid w:val="00DF2B15"/>
    <w:rsid w:val="00DF6B04"/>
    <w:rsid w:val="00E03273"/>
    <w:rsid w:val="00E0538D"/>
    <w:rsid w:val="00E15E98"/>
    <w:rsid w:val="00E165C1"/>
    <w:rsid w:val="00E16A17"/>
    <w:rsid w:val="00E21BA6"/>
    <w:rsid w:val="00E2322C"/>
    <w:rsid w:val="00E235DC"/>
    <w:rsid w:val="00E23752"/>
    <w:rsid w:val="00E23F65"/>
    <w:rsid w:val="00E25974"/>
    <w:rsid w:val="00E3178C"/>
    <w:rsid w:val="00E31DDA"/>
    <w:rsid w:val="00E320DB"/>
    <w:rsid w:val="00E34E4C"/>
    <w:rsid w:val="00E36580"/>
    <w:rsid w:val="00E36E4A"/>
    <w:rsid w:val="00E403CA"/>
    <w:rsid w:val="00E405F6"/>
    <w:rsid w:val="00E41513"/>
    <w:rsid w:val="00E53B5C"/>
    <w:rsid w:val="00E56890"/>
    <w:rsid w:val="00E61927"/>
    <w:rsid w:val="00E63FD2"/>
    <w:rsid w:val="00E70CF7"/>
    <w:rsid w:val="00E7132D"/>
    <w:rsid w:val="00E72A13"/>
    <w:rsid w:val="00E817C7"/>
    <w:rsid w:val="00E85E33"/>
    <w:rsid w:val="00E8627B"/>
    <w:rsid w:val="00E87A26"/>
    <w:rsid w:val="00E97112"/>
    <w:rsid w:val="00E97722"/>
    <w:rsid w:val="00EA5911"/>
    <w:rsid w:val="00EA6202"/>
    <w:rsid w:val="00EA66A2"/>
    <w:rsid w:val="00EA7C18"/>
    <w:rsid w:val="00EC10BE"/>
    <w:rsid w:val="00EC187C"/>
    <w:rsid w:val="00EE2480"/>
    <w:rsid w:val="00EE527A"/>
    <w:rsid w:val="00EF1221"/>
    <w:rsid w:val="00EF1CF6"/>
    <w:rsid w:val="00EF4CBF"/>
    <w:rsid w:val="00EF668A"/>
    <w:rsid w:val="00F00802"/>
    <w:rsid w:val="00F059D9"/>
    <w:rsid w:val="00F164D8"/>
    <w:rsid w:val="00F22D07"/>
    <w:rsid w:val="00F25F1E"/>
    <w:rsid w:val="00F26AB8"/>
    <w:rsid w:val="00F27E88"/>
    <w:rsid w:val="00F33A6B"/>
    <w:rsid w:val="00F36BE9"/>
    <w:rsid w:val="00F379FE"/>
    <w:rsid w:val="00F41669"/>
    <w:rsid w:val="00F41940"/>
    <w:rsid w:val="00F45730"/>
    <w:rsid w:val="00F466C9"/>
    <w:rsid w:val="00F4673A"/>
    <w:rsid w:val="00F5066B"/>
    <w:rsid w:val="00F50D6A"/>
    <w:rsid w:val="00F51E4C"/>
    <w:rsid w:val="00F54A44"/>
    <w:rsid w:val="00F54EBF"/>
    <w:rsid w:val="00F5551C"/>
    <w:rsid w:val="00F55C6E"/>
    <w:rsid w:val="00F655AB"/>
    <w:rsid w:val="00F72209"/>
    <w:rsid w:val="00F77E32"/>
    <w:rsid w:val="00F81B72"/>
    <w:rsid w:val="00F827E0"/>
    <w:rsid w:val="00F83C66"/>
    <w:rsid w:val="00F849AC"/>
    <w:rsid w:val="00F85935"/>
    <w:rsid w:val="00F914A5"/>
    <w:rsid w:val="00F9191C"/>
    <w:rsid w:val="00F9200F"/>
    <w:rsid w:val="00F925D2"/>
    <w:rsid w:val="00F94B99"/>
    <w:rsid w:val="00FA5F77"/>
    <w:rsid w:val="00FA6E7E"/>
    <w:rsid w:val="00FA7E0F"/>
    <w:rsid w:val="00FB4070"/>
    <w:rsid w:val="00FB47A8"/>
    <w:rsid w:val="00FB4918"/>
    <w:rsid w:val="00FC1AB1"/>
    <w:rsid w:val="00FC39E9"/>
    <w:rsid w:val="00FC636B"/>
    <w:rsid w:val="00FC7934"/>
    <w:rsid w:val="00FE0289"/>
    <w:rsid w:val="00FE0AB3"/>
    <w:rsid w:val="00FE21E0"/>
    <w:rsid w:val="00FE24E6"/>
    <w:rsid w:val="00FE4449"/>
    <w:rsid w:val="00FF7216"/>
    <w:rsid w:val="015113D1"/>
    <w:rsid w:val="0244641E"/>
    <w:rsid w:val="04517E6E"/>
    <w:rsid w:val="048FE797"/>
    <w:rsid w:val="06100522"/>
    <w:rsid w:val="068E300E"/>
    <w:rsid w:val="078FB3CF"/>
    <w:rsid w:val="08F53768"/>
    <w:rsid w:val="094942D0"/>
    <w:rsid w:val="09595A64"/>
    <w:rsid w:val="0A2B6493"/>
    <w:rsid w:val="0A660AD6"/>
    <w:rsid w:val="0B0B16BC"/>
    <w:rsid w:val="0BB23CA0"/>
    <w:rsid w:val="0D2A3BC4"/>
    <w:rsid w:val="0D400846"/>
    <w:rsid w:val="0E2B1A07"/>
    <w:rsid w:val="0F2B515B"/>
    <w:rsid w:val="11C44D4E"/>
    <w:rsid w:val="12013AE7"/>
    <w:rsid w:val="13276979"/>
    <w:rsid w:val="138F0A28"/>
    <w:rsid w:val="160550C9"/>
    <w:rsid w:val="17745668"/>
    <w:rsid w:val="1797E440"/>
    <w:rsid w:val="17D4311B"/>
    <w:rsid w:val="18680B75"/>
    <w:rsid w:val="18950986"/>
    <w:rsid w:val="19094219"/>
    <w:rsid w:val="1ACD2271"/>
    <w:rsid w:val="1B4668DD"/>
    <w:rsid w:val="1BBB0935"/>
    <w:rsid w:val="1C93469F"/>
    <w:rsid w:val="1CDA3225"/>
    <w:rsid w:val="1D361557"/>
    <w:rsid w:val="1D4B0BCE"/>
    <w:rsid w:val="1DAF1339"/>
    <w:rsid w:val="1DC13845"/>
    <w:rsid w:val="1E3649B9"/>
    <w:rsid w:val="1EF05DE3"/>
    <w:rsid w:val="1F2D3C6C"/>
    <w:rsid w:val="1FFE10AA"/>
    <w:rsid w:val="203F0A22"/>
    <w:rsid w:val="20E76031"/>
    <w:rsid w:val="21EB5AB4"/>
    <w:rsid w:val="2260450E"/>
    <w:rsid w:val="23B42C6D"/>
    <w:rsid w:val="252267CD"/>
    <w:rsid w:val="252F41C4"/>
    <w:rsid w:val="26EE4279"/>
    <w:rsid w:val="27F20657"/>
    <w:rsid w:val="28107987"/>
    <w:rsid w:val="28247569"/>
    <w:rsid w:val="294675D6"/>
    <w:rsid w:val="2A5B30EC"/>
    <w:rsid w:val="2AD3601F"/>
    <w:rsid w:val="2CFFB4CE"/>
    <w:rsid w:val="2D404FF5"/>
    <w:rsid w:val="2DE465F6"/>
    <w:rsid w:val="2DFF09FC"/>
    <w:rsid w:val="2E237CBD"/>
    <w:rsid w:val="2E48557E"/>
    <w:rsid w:val="2EFF1F67"/>
    <w:rsid w:val="2F9C152E"/>
    <w:rsid w:val="30140F55"/>
    <w:rsid w:val="309E2DC2"/>
    <w:rsid w:val="30A81BF8"/>
    <w:rsid w:val="313D1ECF"/>
    <w:rsid w:val="32684D92"/>
    <w:rsid w:val="3348573C"/>
    <w:rsid w:val="35345946"/>
    <w:rsid w:val="367FB557"/>
    <w:rsid w:val="375CAFC9"/>
    <w:rsid w:val="375F4194"/>
    <w:rsid w:val="38B17ACF"/>
    <w:rsid w:val="38EE2DD1"/>
    <w:rsid w:val="38F97767"/>
    <w:rsid w:val="38FDCD35"/>
    <w:rsid w:val="393EB353"/>
    <w:rsid w:val="397F2556"/>
    <w:rsid w:val="3A2747FC"/>
    <w:rsid w:val="3A36413A"/>
    <w:rsid w:val="3AA957FD"/>
    <w:rsid w:val="3AB6630B"/>
    <w:rsid w:val="3ADA6659"/>
    <w:rsid w:val="3AF143FE"/>
    <w:rsid w:val="3BF7DCFD"/>
    <w:rsid w:val="3BFFEB39"/>
    <w:rsid w:val="3C34124F"/>
    <w:rsid w:val="3D4FB0A2"/>
    <w:rsid w:val="3DEC81F1"/>
    <w:rsid w:val="3E024A9C"/>
    <w:rsid w:val="3F379026"/>
    <w:rsid w:val="3FDEFE13"/>
    <w:rsid w:val="3FDF6341"/>
    <w:rsid w:val="3FEF7217"/>
    <w:rsid w:val="3FFB666C"/>
    <w:rsid w:val="412179FD"/>
    <w:rsid w:val="41BF0A89"/>
    <w:rsid w:val="42010BF6"/>
    <w:rsid w:val="42E775D5"/>
    <w:rsid w:val="434A241B"/>
    <w:rsid w:val="44452C2E"/>
    <w:rsid w:val="45FF56D1"/>
    <w:rsid w:val="47F81401"/>
    <w:rsid w:val="4B9C4DC2"/>
    <w:rsid w:val="4C0F745D"/>
    <w:rsid w:val="4DAA5782"/>
    <w:rsid w:val="4E7B76FB"/>
    <w:rsid w:val="4EEC5FE5"/>
    <w:rsid w:val="4F4135B7"/>
    <w:rsid w:val="4FA5B644"/>
    <w:rsid w:val="4FC51B78"/>
    <w:rsid w:val="501A7A19"/>
    <w:rsid w:val="512C6179"/>
    <w:rsid w:val="51366132"/>
    <w:rsid w:val="518D575B"/>
    <w:rsid w:val="530D1DD8"/>
    <w:rsid w:val="53B0625A"/>
    <w:rsid w:val="53FC488E"/>
    <w:rsid w:val="54EDA322"/>
    <w:rsid w:val="55BC57C2"/>
    <w:rsid w:val="56937D13"/>
    <w:rsid w:val="56CBB0B8"/>
    <w:rsid w:val="571C4C48"/>
    <w:rsid w:val="577322D8"/>
    <w:rsid w:val="57FB59F1"/>
    <w:rsid w:val="58B879C3"/>
    <w:rsid w:val="58DE2CA8"/>
    <w:rsid w:val="59782EF9"/>
    <w:rsid w:val="5A7F732F"/>
    <w:rsid w:val="5BF61CB3"/>
    <w:rsid w:val="5D1427EB"/>
    <w:rsid w:val="5D325D70"/>
    <w:rsid w:val="5DAB7F00"/>
    <w:rsid w:val="5DB04C17"/>
    <w:rsid w:val="5DC62336"/>
    <w:rsid w:val="5DFD2AC8"/>
    <w:rsid w:val="5F2B5C67"/>
    <w:rsid w:val="5F347032"/>
    <w:rsid w:val="5F751021"/>
    <w:rsid w:val="5F94547B"/>
    <w:rsid w:val="5FBFEF74"/>
    <w:rsid w:val="5FEBAD1D"/>
    <w:rsid w:val="5FED3F14"/>
    <w:rsid w:val="60AB2B40"/>
    <w:rsid w:val="60E7660B"/>
    <w:rsid w:val="60F856BF"/>
    <w:rsid w:val="61515A6C"/>
    <w:rsid w:val="64DDAB81"/>
    <w:rsid w:val="65B6767A"/>
    <w:rsid w:val="65C854C3"/>
    <w:rsid w:val="65E07C61"/>
    <w:rsid w:val="661748FA"/>
    <w:rsid w:val="665B2628"/>
    <w:rsid w:val="66CF133F"/>
    <w:rsid w:val="67560703"/>
    <w:rsid w:val="6812409A"/>
    <w:rsid w:val="68CB7079"/>
    <w:rsid w:val="699F229F"/>
    <w:rsid w:val="6A017EA1"/>
    <w:rsid w:val="6AEF2510"/>
    <w:rsid w:val="6B883CBC"/>
    <w:rsid w:val="6BFEF42B"/>
    <w:rsid w:val="6D4F1181"/>
    <w:rsid w:val="6D8272A9"/>
    <w:rsid w:val="6DA53323"/>
    <w:rsid w:val="6DED7015"/>
    <w:rsid w:val="6DEFF912"/>
    <w:rsid w:val="6E0A46B0"/>
    <w:rsid w:val="6EDCFDC0"/>
    <w:rsid w:val="6F035387"/>
    <w:rsid w:val="6F552CBA"/>
    <w:rsid w:val="6F8B71C4"/>
    <w:rsid w:val="6FCF053E"/>
    <w:rsid w:val="6FDB352D"/>
    <w:rsid w:val="6FDFBFD8"/>
    <w:rsid w:val="6FF7745F"/>
    <w:rsid w:val="718F540F"/>
    <w:rsid w:val="71C73453"/>
    <w:rsid w:val="71EF6FBC"/>
    <w:rsid w:val="72F971D6"/>
    <w:rsid w:val="73B43FF5"/>
    <w:rsid w:val="73DA0B4E"/>
    <w:rsid w:val="74447A36"/>
    <w:rsid w:val="749E1189"/>
    <w:rsid w:val="74FF56DB"/>
    <w:rsid w:val="75AB1F93"/>
    <w:rsid w:val="76CF9583"/>
    <w:rsid w:val="776A6982"/>
    <w:rsid w:val="78231FE5"/>
    <w:rsid w:val="785A0F3E"/>
    <w:rsid w:val="786DA0A3"/>
    <w:rsid w:val="78FEAB39"/>
    <w:rsid w:val="78FFBF29"/>
    <w:rsid w:val="79826CFF"/>
    <w:rsid w:val="79B7C2FF"/>
    <w:rsid w:val="79E26B39"/>
    <w:rsid w:val="7A4D2EC6"/>
    <w:rsid w:val="7A7F49FB"/>
    <w:rsid w:val="7ADF6B03"/>
    <w:rsid w:val="7AF739E7"/>
    <w:rsid w:val="7B0911C7"/>
    <w:rsid w:val="7B1973F2"/>
    <w:rsid w:val="7B363E21"/>
    <w:rsid w:val="7B7734ED"/>
    <w:rsid w:val="7BDFF639"/>
    <w:rsid w:val="7BEF601A"/>
    <w:rsid w:val="7CB43D99"/>
    <w:rsid w:val="7D177AB2"/>
    <w:rsid w:val="7D5EFDB7"/>
    <w:rsid w:val="7D7740C1"/>
    <w:rsid w:val="7DF720D0"/>
    <w:rsid w:val="7DFF3261"/>
    <w:rsid w:val="7EAF3712"/>
    <w:rsid w:val="7EEDBDD5"/>
    <w:rsid w:val="7EEF847A"/>
    <w:rsid w:val="7EFF580D"/>
    <w:rsid w:val="7EFFCD85"/>
    <w:rsid w:val="7F5F579D"/>
    <w:rsid w:val="7FCF0119"/>
    <w:rsid w:val="7FDF9618"/>
    <w:rsid w:val="7FE71C7D"/>
    <w:rsid w:val="7FF729D1"/>
    <w:rsid w:val="7FFECA4D"/>
    <w:rsid w:val="7FFFCE4F"/>
    <w:rsid w:val="923F2FE2"/>
    <w:rsid w:val="977F0C74"/>
    <w:rsid w:val="979B13CC"/>
    <w:rsid w:val="9CFDC13B"/>
    <w:rsid w:val="ADDFA602"/>
    <w:rsid w:val="ADEF3404"/>
    <w:rsid w:val="AF7B56A7"/>
    <w:rsid w:val="AFFF24E2"/>
    <w:rsid w:val="B2FD6801"/>
    <w:rsid w:val="B3BE3293"/>
    <w:rsid w:val="B3EF130C"/>
    <w:rsid w:val="B7775A37"/>
    <w:rsid w:val="B793EC2B"/>
    <w:rsid w:val="B7F72225"/>
    <w:rsid w:val="B7FDA8C7"/>
    <w:rsid w:val="B8FBF1D0"/>
    <w:rsid w:val="B97C5203"/>
    <w:rsid w:val="B9ABF314"/>
    <w:rsid w:val="B9DFC01F"/>
    <w:rsid w:val="BA7B23C6"/>
    <w:rsid w:val="BBB7EFFD"/>
    <w:rsid w:val="BBEC7D08"/>
    <w:rsid w:val="BE5FB322"/>
    <w:rsid w:val="BE7DF951"/>
    <w:rsid w:val="BF9F0461"/>
    <w:rsid w:val="BFD89D34"/>
    <w:rsid w:val="BFDF0CA1"/>
    <w:rsid w:val="BFF9F87A"/>
    <w:rsid w:val="BFFD43C8"/>
    <w:rsid w:val="BFFFA694"/>
    <w:rsid w:val="C73FAFA7"/>
    <w:rsid w:val="C7BF9A88"/>
    <w:rsid w:val="CFC5165F"/>
    <w:rsid w:val="CFFF8A59"/>
    <w:rsid w:val="D5FA58C0"/>
    <w:rsid w:val="D7FF45F4"/>
    <w:rsid w:val="DA4F2676"/>
    <w:rsid w:val="DBB9518C"/>
    <w:rsid w:val="DBBFF20D"/>
    <w:rsid w:val="DF9F6D0E"/>
    <w:rsid w:val="DFB5AC95"/>
    <w:rsid w:val="E11EF8BF"/>
    <w:rsid w:val="E775E8C1"/>
    <w:rsid w:val="EEF71DAF"/>
    <w:rsid w:val="EF1564FA"/>
    <w:rsid w:val="EF7FF8B0"/>
    <w:rsid w:val="EFDE538E"/>
    <w:rsid w:val="EFE7F839"/>
    <w:rsid w:val="EFEA6662"/>
    <w:rsid w:val="EFEE97E5"/>
    <w:rsid w:val="EFF3A97D"/>
    <w:rsid w:val="F1A5AB24"/>
    <w:rsid w:val="F31BC2D6"/>
    <w:rsid w:val="F5DB3AAE"/>
    <w:rsid w:val="F6FFA836"/>
    <w:rsid w:val="F7D95D2A"/>
    <w:rsid w:val="F7DD4AE3"/>
    <w:rsid w:val="F7DF382F"/>
    <w:rsid w:val="F7FDA43B"/>
    <w:rsid w:val="F7FFFBEF"/>
    <w:rsid w:val="F8E68F93"/>
    <w:rsid w:val="FB9E6BFA"/>
    <w:rsid w:val="FB9F1631"/>
    <w:rsid w:val="FD7FFBCF"/>
    <w:rsid w:val="FDE7FC1B"/>
    <w:rsid w:val="FE1BBBC6"/>
    <w:rsid w:val="FE734873"/>
    <w:rsid w:val="FED63FD4"/>
    <w:rsid w:val="FEFDE21E"/>
    <w:rsid w:val="FEFF1493"/>
    <w:rsid w:val="FFBE86AF"/>
    <w:rsid w:val="FFDF2E12"/>
    <w:rsid w:val="FFDF571D"/>
    <w:rsid w:val="FFE7B008"/>
    <w:rsid w:val="FFEDEF49"/>
    <w:rsid w:val="FFEFD6EC"/>
    <w:rsid w:val="FFFA1352"/>
    <w:rsid w:val="FFFF9BA4"/>
    <w:rsid w:val="FFFFA95F"/>
    <w:rsid w:val="FFFFE75D"/>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Times New Roman"/>
      <w:kern w:val="2"/>
      <w:sz w:val="32"/>
      <w:lang w:val="en-US" w:eastAsia="zh-CN" w:bidi="ar-SA"/>
    </w:rPr>
  </w:style>
  <w:style w:type="paragraph" w:styleId="4">
    <w:name w:val="heading 1"/>
    <w:basedOn w:val="1"/>
    <w:next w:val="1"/>
    <w:qFormat/>
    <w:uiPriority w:val="0"/>
    <w:pPr>
      <w:keepNext/>
      <w:keepLines/>
      <w:jc w:val="center"/>
      <w:outlineLvl w:val="0"/>
    </w:pPr>
    <w:rPr>
      <w:rFonts w:eastAsia="方正小标宋简体"/>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next w:val="1"/>
    <w:unhideWhenUsed/>
    <w:qFormat/>
    <w:uiPriority w:val="99"/>
    <w:pPr>
      <w:spacing w:after="120"/>
    </w:pPr>
  </w:style>
  <w:style w:type="paragraph" w:styleId="5">
    <w:name w:val="Balloon Text"/>
    <w:basedOn w:val="1"/>
    <w:link w:val="33"/>
    <w:semiHidden/>
    <w:unhideWhenUsed/>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customStyle="1" w:styleId="13">
    <w:name w:val="页码1"/>
    <w:basedOn w:val="11"/>
    <w:qFormat/>
    <w:uiPriority w:val="0"/>
    <w:rPr>
      <w:rFonts w:cs="Times New Roman"/>
    </w:rPr>
  </w:style>
  <w:style w:type="paragraph" w:customStyle="1" w:styleId="14">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
    <w:name w:val="页眉 New New New"/>
    <w:basedOn w:val="16"/>
    <w:qFormat/>
    <w:uiPriority w:val="0"/>
    <w:pPr>
      <w:pBdr>
        <w:bottom w:val="single" w:color="auto" w:sz="6" w:space="1"/>
      </w:pBdr>
      <w:tabs>
        <w:tab w:val="center" w:pos="4153"/>
        <w:tab w:val="right" w:pos="8306"/>
      </w:tabs>
      <w:snapToGrid w:val="0"/>
      <w:jc w:val="center"/>
    </w:pPr>
    <w:rPr>
      <w:sz w:val="18"/>
      <w:szCs w:val="18"/>
    </w:rPr>
  </w:style>
  <w:style w:type="paragraph" w:customStyle="1" w:styleId="16">
    <w:name w:val="正文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正文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页眉 New New"/>
    <w:basedOn w:val="18"/>
    <w:qFormat/>
    <w:uiPriority w:val="0"/>
    <w:pPr>
      <w:pBdr>
        <w:bottom w:val="single" w:color="auto" w:sz="6" w:space="1"/>
      </w:pBdr>
      <w:tabs>
        <w:tab w:val="center" w:pos="4153"/>
        <w:tab w:val="right" w:pos="8306"/>
      </w:tabs>
      <w:snapToGrid w:val="0"/>
      <w:jc w:val="center"/>
    </w:pPr>
    <w:rPr>
      <w:sz w:val="18"/>
      <w:szCs w:val="18"/>
    </w:rPr>
  </w:style>
  <w:style w:type="paragraph" w:customStyle="1" w:styleId="20">
    <w:name w:val="页脚 New New New"/>
    <w:basedOn w:val="17"/>
    <w:qFormat/>
    <w:uiPriority w:val="0"/>
    <w:pPr>
      <w:tabs>
        <w:tab w:val="center" w:pos="4153"/>
        <w:tab w:val="right" w:pos="8306"/>
      </w:tabs>
      <w:snapToGrid w:val="0"/>
      <w:jc w:val="left"/>
    </w:pPr>
    <w:rPr>
      <w:sz w:val="18"/>
      <w:szCs w:val="18"/>
    </w:rPr>
  </w:style>
  <w:style w:type="paragraph" w:customStyle="1" w:styleId="21">
    <w:name w:val="Char Char Char Char Char Char"/>
    <w:basedOn w:val="17"/>
    <w:qFormat/>
    <w:uiPriority w:val="0"/>
    <w:pPr>
      <w:spacing w:line="360" w:lineRule="auto"/>
      <w:ind w:firstLine="200" w:firstLineChars="200"/>
    </w:pPr>
  </w:style>
  <w:style w:type="paragraph" w:customStyle="1" w:styleId="22">
    <w:name w:val="页脚 New New New New New New"/>
    <w:basedOn w:val="18"/>
    <w:qFormat/>
    <w:uiPriority w:val="0"/>
    <w:pPr>
      <w:tabs>
        <w:tab w:val="center" w:pos="4153"/>
        <w:tab w:val="right" w:pos="8306"/>
      </w:tabs>
      <w:snapToGrid w:val="0"/>
      <w:jc w:val="left"/>
    </w:pPr>
    <w:rPr>
      <w:sz w:val="18"/>
      <w:szCs w:val="18"/>
    </w:rPr>
  </w:style>
  <w:style w:type="paragraph" w:customStyle="1" w:styleId="23">
    <w:name w:val="页脚 New New New New New New New"/>
    <w:basedOn w:val="16"/>
    <w:qFormat/>
    <w:uiPriority w:val="0"/>
    <w:pPr>
      <w:tabs>
        <w:tab w:val="center" w:pos="4153"/>
        <w:tab w:val="right" w:pos="8306"/>
      </w:tabs>
      <w:snapToGrid w:val="0"/>
      <w:jc w:val="left"/>
    </w:pPr>
    <w:rPr>
      <w:sz w:val="18"/>
      <w:szCs w:val="18"/>
    </w:rPr>
  </w:style>
  <w:style w:type="paragraph" w:customStyle="1" w:styleId="24">
    <w:name w:val="页眉 New"/>
    <w:basedOn w:val="25"/>
    <w:qFormat/>
    <w:uiPriority w:val="0"/>
    <w:pPr>
      <w:pBdr>
        <w:bottom w:val="single" w:color="auto" w:sz="6" w:space="1"/>
      </w:pBdr>
      <w:tabs>
        <w:tab w:val="center" w:pos="4153"/>
        <w:tab w:val="right" w:pos="8306"/>
      </w:tabs>
      <w:snapToGrid w:val="0"/>
      <w:jc w:val="center"/>
    </w:pPr>
    <w:rPr>
      <w:sz w:val="18"/>
      <w:szCs w:val="18"/>
    </w:rPr>
  </w:style>
  <w:style w:type="paragraph" w:customStyle="1" w:styleId="25">
    <w:name w:val="正文 New New New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页脚 New"/>
    <w:basedOn w:val="27"/>
    <w:qFormat/>
    <w:uiPriority w:val="0"/>
    <w:pPr>
      <w:tabs>
        <w:tab w:val="center" w:pos="4153"/>
        <w:tab w:val="right" w:pos="8306"/>
      </w:tabs>
      <w:snapToGrid w:val="0"/>
      <w:jc w:val="left"/>
    </w:pPr>
    <w:rPr>
      <w:sz w:val="18"/>
      <w:szCs w:val="18"/>
    </w:rPr>
  </w:style>
  <w:style w:type="paragraph" w:customStyle="1" w:styleId="27">
    <w:name w:val="正文 New"/>
    <w:qFormat/>
    <w:uiPriority w:val="0"/>
    <w:pPr>
      <w:widowControl w:val="0"/>
      <w:jc w:val="both"/>
    </w:pPr>
    <w:rPr>
      <w:rFonts w:ascii="Calibri" w:hAnsi="Calibri" w:eastAsia="宋体" w:cs="黑体"/>
      <w:kern w:val="2"/>
      <w:sz w:val="21"/>
      <w:szCs w:val="22"/>
      <w:lang w:val="en-US" w:eastAsia="zh-CN" w:bidi="ar-SA"/>
    </w:rPr>
  </w:style>
  <w:style w:type="paragraph" w:customStyle="1" w:styleId="28">
    <w:name w:val="页脚 New New New New"/>
    <w:basedOn w:val="29"/>
    <w:qFormat/>
    <w:uiPriority w:val="0"/>
    <w:pPr>
      <w:tabs>
        <w:tab w:val="center" w:pos="4153"/>
        <w:tab w:val="right" w:pos="8306"/>
      </w:tabs>
      <w:snapToGrid w:val="0"/>
      <w:jc w:val="left"/>
    </w:pPr>
    <w:rPr>
      <w:sz w:val="18"/>
      <w:szCs w:val="18"/>
    </w:rPr>
  </w:style>
  <w:style w:type="paragraph" w:customStyle="1" w:styleId="29">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页脚 New New"/>
    <w:basedOn w:val="14"/>
    <w:qFormat/>
    <w:uiPriority w:val="0"/>
    <w:pPr>
      <w:tabs>
        <w:tab w:val="center" w:pos="4153"/>
        <w:tab w:val="right" w:pos="8306"/>
      </w:tabs>
      <w:snapToGrid w:val="0"/>
      <w:jc w:val="left"/>
    </w:pPr>
    <w:rPr>
      <w:sz w:val="18"/>
      <w:szCs w:val="18"/>
    </w:rPr>
  </w:style>
  <w:style w:type="paragraph" w:customStyle="1" w:styleId="31">
    <w:name w:val="页脚 New New New New New"/>
    <w:basedOn w:val="25"/>
    <w:qFormat/>
    <w:uiPriority w:val="0"/>
    <w:pPr>
      <w:tabs>
        <w:tab w:val="center" w:pos="4153"/>
        <w:tab w:val="right" w:pos="8306"/>
      </w:tabs>
      <w:snapToGrid w:val="0"/>
      <w:jc w:val="left"/>
    </w:pPr>
    <w:rPr>
      <w:sz w:val="18"/>
      <w:szCs w:val="18"/>
    </w:rPr>
  </w:style>
  <w:style w:type="paragraph" w:styleId="32">
    <w:name w:val="List Paragraph"/>
    <w:basedOn w:val="1"/>
    <w:qFormat/>
    <w:uiPriority w:val="99"/>
    <w:pPr>
      <w:ind w:firstLine="420" w:firstLineChars="200"/>
    </w:pPr>
  </w:style>
  <w:style w:type="character" w:customStyle="1" w:styleId="33">
    <w:name w:val="批注框文本 字符"/>
    <w:basedOn w:val="11"/>
    <w:link w:val="5"/>
    <w:semiHidden/>
    <w:qFormat/>
    <w:uiPriority w:val="0"/>
    <w:rPr>
      <w:kern w:val="2"/>
      <w:sz w:val="18"/>
      <w:szCs w:val="18"/>
    </w:rPr>
  </w:style>
  <w:style w:type="paragraph" w:customStyle="1" w:styleId="34">
    <w:name w:val="p15"/>
    <w:basedOn w:val="1"/>
    <w:qFormat/>
    <w:uiPriority w:val="0"/>
    <w:pPr>
      <w:widowControl/>
    </w:pPr>
    <w:rPr>
      <w:kern w:val="0"/>
      <w:szCs w:val="21"/>
    </w:rPr>
  </w:style>
  <w:style w:type="character" w:customStyle="1" w:styleId="35">
    <w:name w:val="NormalCharacter"/>
    <w:semiHidden/>
    <w:qFormat/>
    <w:uiPriority w:val="0"/>
  </w:style>
  <w:style w:type="table" w:customStyle="1" w:styleId="36">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4625</Words>
  <Characters>4758</Characters>
  <Lines>16</Lines>
  <Paragraphs>4</Paragraphs>
  <TotalTime>207</TotalTime>
  <ScaleCrop>false</ScaleCrop>
  <LinksUpToDate>false</LinksUpToDate>
  <CharactersWithSpaces>4880</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2016-08-17T19:10:00Z</dcterms:created>
  <dc:creator>LENOVO</dc:creator>
  <cp:lastModifiedBy>guest</cp:lastModifiedBy>
  <cp:lastPrinted>2026-04-14T00:44:00Z</cp:lastPrinted>
  <dcterms:modified xsi:type="dcterms:W3CDTF">2026-04-15T09:39:57Z</dcterms:modified>
  <dc:title>关于对2016年上半年全厅重点工作</dc:title>
  <cp:revision>512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DCCD7D8320BB0410311EAD68ACF4ED6D</vt:lpwstr>
  </property>
</Properties>
</file>